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0558" w14:textId="33327B7A" w:rsidR="009B1D06" w:rsidRPr="00545C02" w:rsidRDefault="009B1D06">
      <w:pPr>
        <w:rPr>
          <w:highlight w:val="yellow"/>
        </w:rPr>
      </w:pPr>
      <w:r w:rsidRPr="00545C02">
        <w:rPr>
          <w:noProof/>
          <w:highlight w:val="yellow"/>
          <w:lang w:eastAsia="nb-NO"/>
        </w:rPr>
        <mc:AlternateContent>
          <mc:Choice Requires="wps">
            <w:drawing>
              <wp:anchor distT="0" distB="0" distL="114300" distR="114300" simplePos="0" relativeHeight="251658241" behindDoc="1" locked="0" layoutInCell="1" allowOverlap="1" wp14:anchorId="2F5E6FF2" wp14:editId="5F24523A">
                <wp:simplePos x="0" y="0"/>
                <wp:positionH relativeFrom="page">
                  <wp:posOffset>0</wp:posOffset>
                </wp:positionH>
                <wp:positionV relativeFrom="page">
                  <wp:posOffset>6267</wp:posOffset>
                </wp:positionV>
                <wp:extent cx="7559675" cy="10690860"/>
                <wp:effectExtent l="0" t="0" r="3175" b="0"/>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0860"/>
                        </a:xfrm>
                        <a:prstGeom prst="rect">
                          <a:avLst/>
                        </a:prstGeom>
                        <a:solidFill>
                          <a:srgbClr val="0069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4455F" id="Rektangel 16" o:spid="_x0000_s1026" alt="&quot;&quot;" style="position:absolute;margin-left:0;margin-top:.5pt;width:595.25pt;height:84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" fillcolor="#0069e8" stroked="f" strokeweight="1pt">
                <w10:wrap anchorx="page" anchory="page"/>
              </v:rect>
            </w:pict>
          </mc:Fallback>
        </mc:AlternateContent>
      </w:r>
    </w:p>
    <w:p w14:paraId="4DDDE320" w14:textId="77777777" w:rsidR="009B1D06" w:rsidRPr="00545C02" w:rsidRDefault="009B1D06">
      <w:pPr>
        <w:rPr>
          <w:noProof/>
          <w:color w:val="F0F0F0" w:themeColor="background1"/>
          <w:highlight w:val="yellow"/>
          <w:lang w:eastAsia="nb-NO"/>
        </w:rPr>
      </w:pPr>
    </w:p>
    <w:p w14:paraId="545F1A84" w14:textId="77777777" w:rsidR="009B1D06" w:rsidRPr="00545C02" w:rsidRDefault="009B1D06">
      <w:pPr>
        <w:rPr>
          <w:highlight w:val="yellow"/>
        </w:rPr>
      </w:pPr>
      <w:r w:rsidRPr="00545C02">
        <w:rPr>
          <w:noProof/>
          <w:highlight w:val="yellow"/>
          <w:lang w:eastAsia="nb-NO"/>
        </w:rPr>
        <w:drawing>
          <wp:anchor distT="0" distB="0" distL="114300" distR="114300" simplePos="0" relativeHeight="251658242" behindDoc="1" locked="0" layoutInCell="1" allowOverlap="1" wp14:anchorId="00F72753" wp14:editId="18F426A1">
            <wp:simplePos x="0" y="0"/>
            <wp:positionH relativeFrom="page">
              <wp:posOffset>0</wp:posOffset>
            </wp:positionH>
            <wp:positionV relativeFrom="page">
              <wp:posOffset>0</wp:posOffset>
            </wp:positionV>
            <wp:extent cx="1774190" cy="1400175"/>
            <wp:effectExtent l="0" t="0" r="0" b="9525"/>
            <wp:wrapNone/>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74190" cy="1400175"/>
                    </a:xfrm>
                    <a:prstGeom prst="rect">
                      <a:avLst/>
                    </a:prstGeom>
                  </pic:spPr>
                </pic:pic>
              </a:graphicData>
            </a:graphic>
          </wp:anchor>
        </w:drawing>
      </w:r>
    </w:p>
    <w:p w14:paraId="5F891643" w14:textId="77777777" w:rsidR="009B1D06" w:rsidRPr="00545C02" w:rsidRDefault="009B1D06" w:rsidP="000A31F5">
      <w:pPr>
        <w:autoSpaceDE w:val="0"/>
        <w:autoSpaceDN w:val="0"/>
        <w:adjustRightInd w:val="0"/>
        <w:rPr>
          <w:rFonts w:cs="Arial"/>
          <w:color w:val="000000"/>
          <w:sz w:val="24"/>
          <w:szCs w:val="24"/>
          <w:highlight w:val="yellow"/>
        </w:rPr>
      </w:pPr>
    </w:p>
    <w:p w14:paraId="29280027" w14:textId="4400963C" w:rsidR="009B1D06" w:rsidRPr="00545C02" w:rsidRDefault="009401E6">
      <w:pPr>
        <w:spacing w:line="259" w:lineRule="auto"/>
        <w:rPr>
          <w:rFonts w:asciiTheme="minorHAnsi" w:hAnsiTheme="minorHAnsi"/>
          <w:highlight w:val="yellow"/>
        </w:rPr>
      </w:pPr>
      <w:r w:rsidRPr="00545C02">
        <w:rPr>
          <w:rFonts w:cs="Arial"/>
          <w:noProof/>
          <w:color w:val="000000"/>
          <w:sz w:val="24"/>
          <w:szCs w:val="24"/>
          <w:highlight w:val="yellow"/>
          <w:lang w:eastAsia="nb-NO"/>
        </w:rPr>
        <mc:AlternateContent>
          <mc:Choice Requires="wps">
            <w:drawing>
              <wp:anchor distT="0" distB="0" distL="114300" distR="114300" simplePos="0" relativeHeight="251658244" behindDoc="0" locked="0" layoutInCell="1" allowOverlap="1" wp14:anchorId="7F1DE181" wp14:editId="0F736DB7">
                <wp:simplePos x="0" y="0"/>
                <wp:positionH relativeFrom="column">
                  <wp:posOffset>16643</wp:posOffset>
                </wp:positionH>
                <wp:positionV relativeFrom="paragraph">
                  <wp:posOffset>214010</wp:posOffset>
                </wp:positionV>
                <wp:extent cx="5716270" cy="3788646"/>
                <wp:effectExtent l="0" t="0" r="0" b="2540"/>
                <wp:wrapNone/>
                <wp:docPr id="15" name="Tekstboks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3788646"/>
                        </a:xfrm>
                        <a:prstGeom prst="rect">
                          <a:avLst/>
                        </a:prstGeom>
                        <a:noFill/>
                        <a:ln w="9525">
                          <a:noFill/>
                          <a:miter lim="800000"/>
                          <a:headEnd/>
                          <a:tailEnd/>
                        </a:ln>
                      </wps:spPr>
                      <wps:txbx>
                        <w:txbxContent>
                          <w:p w14:paraId="10859569" w14:textId="77777777" w:rsidR="007F2E0D" w:rsidRPr="009401E6" w:rsidRDefault="007F2E0D" w:rsidP="0044529E">
                            <w:pPr>
                              <w:pStyle w:val="Overtittelforside"/>
                            </w:pPr>
                            <w:r w:rsidRPr="009401E6">
                              <w:t>Nasjonal e-helsemonitor</w:t>
                            </w:r>
                          </w:p>
                          <w:p w14:paraId="6FC190B1" w14:textId="0CB1DD87" w:rsidR="007F2E0D" w:rsidRPr="009401E6" w:rsidRDefault="007F2E0D" w:rsidP="00FE7E57">
                            <w:pPr>
                              <w:pStyle w:val="Tittel"/>
                              <w:rPr>
                                <w:rStyle w:val="UndertittelTegn"/>
                              </w:rPr>
                            </w:pPr>
                            <w:r w:rsidRPr="009401E6">
                              <w:t>Ressursbruk på IKT i helse- og omsorgstjenesten i 202</w:t>
                            </w:r>
                            <w:r w:rsidR="002F5853">
                              <w:t>1</w:t>
                            </w:r>
                          </w:p>
                          <w:p w14:paraId="6FD8D54D" w14:textId="77777777" w:rsidR="007F2E0D" w:rsidRPr="0044529E" w:rsidRDefault="007F2E0D" w:rsidP="0044529E">
                            <w:pPr>
                              <w:pStyle w:val="Overtittelforside"/>
                            </w:pPr>
                            <w:r w:rsidRPr="009401E6">
                              <w:t>Analyse av nøkkeltall for 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DE181" id="_x0000_t202" coordsize="21600,21600" o:spt="202" path="m,l,21600r21600,l21600,xe">
                <v:stroke joinstyle="miter"/>
                <v:path gradientshapeok="t" o:connecttype="rect"/>
              </v:shapetype>
              <v:shape id="Tekstboks 15" o:spid="_x0000_s1026" type="#_x0000_t202" alt="&quot;&quot;" style="position:absolute;margin-left:1.3pt;margin-top:16.85pt;width:450.1pt;height:29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" filled="f" stroked="f">
                <v:textbox>
                  <w:txbxContent>
                    <w:p w14:paraId="10859569" w14:textId="77777777" w:rsidR="007F2E0D" w:rsidRPr="009401E6" w:rsidRDefault="007F2E0D" w:rsidP="0044529E">
                      <w:pPr>
                        <w:pStyle w:val="Overtittelforside"/>
                      </w:pPr>
                      <w:r w:rsidRPr="009401E6">
                        <w:t>Nasjonal e-helsemonitor</w:t>
                      </w:r>
                    </w:p>
                    <w:p w14:paraId="6FC190B1" w14:textId="0CB1DD87" w:rsidR="007F2E0D" w:rsidRPr="009401E6" w:rsidRDefault="007F2E0D" w:rsidP="00FE7E57">
                      <w:pPr>
                        <w:pStyle w:val="Tittel"/>
                        <w:rPr>
                          <w:rStyle w:val="UndertittelTegn"/>
                        </w:rPr>
                      </w:pPr>
                      <w:r w:rsidRPr="009401E6">
                        <w:t>Ressursbruk på IKT i helse- og omsorgstjenesten i 202</w:t>
                      </w:r>
                      <w:r w:rsidR="002F5853">
                        <w:t>1</w:t>
                      </w:r>
                    </w:p>
                    <w:p w14:paraId="6FD8D54D" w14:textId="77777777" w:rsidR="007F2E0D" w:rsidRPr="0044529E" w:rsidRDefault="007F2E0D" w:rsidP="0044529E">
                      <w:pPr>
                        <w:pStyle w:val="Overtittelforside"/>
                      </w:pPr>
                      <w:r w:rsidRPr="009401E6">
                        <w:t>Analyse av nøkkeltall for IKT</w:t>
                      </w:r>
                    </w:p>
                  </w:txbxContent>
                </v:textbox>
              </v:shape>
            </w:pict>
          </mc:Fallback>
        </mc:AlternateContent>
      </w:r>
    </w:p>
    <w:tbl>
      <w:tblPr>
        <w:tblW w:w="0" w:type="auto"/>
        <w:tblLayout w:type="fixed"/>
        <w:tblLook w:val="0000" w:firstRow="0" w:lastRow="0" w:firstColumn="0" w:lastColumn="0" w:noHBand="0" w:noVBand="0"/>
      </w:tblPr>
      <w:tblGrid>
        <w:gridCol w:w="9365"/>
      </w:tblGrid>
      <w:tr w:rsidR="009B1D06" w:rsidRPr="00545C02" w14:paraId="0C788D42" w14:textId="77777777" w:rsidTr="00511B91">
        <w:trPr>
          <w:trHeight w:val="625"/>
        </w:trPr>
        <w:tc>
          <w:tcPr>
            <w:tcW w:w="9365" w:type="dxa"/>
          </w:tcPr>
          <w:p w14:paraId="7E9A9CA6" w14:textId="77777777" w:rsidR="009B1D06" w:rsidRPr="00545C02" w:rsidRDefault="009B1D06" w:rsidP="0044529E">
            <w:pPr>
              <w:pStyle w:val="Undertittel"/>
              <w:rPr>
                <w:rStyle w:val="UndertittelTegn"/>
                <w:highlight w:val="yellow"/>
              </w:rPr>
            </w:pPr>
          </w:p>
        </w:tc>
      </w:tr>
    </w:tbl>
    <w:p w14:paraId="07CFE7AF" w14:textId="4D2A6FB3" w:rsidR="009B1D06" w:rsidRPr="00545C02" w:rsidRDefault="009B1D06">
      <w:pPr>
        <w:spacing w:line="259" w:lineRule="auto"/>
        <w:rPr>
          <w:highlight w:val="yellow"/>
        </w:rPr>
      </w:pPr>
    </w:p>
    <w:p w14:paraId="38B5160F" w14:textId="3D7D05BD" w:rsidR="009B1D06" w:rsidRPr="00545C02" w:rsidRDefault="009B1D06">
      <w:pPr>
        <w:spacing w:line="259" w:lineRule="auto"/>
        <w:rPr>
          <w:noProof/>
          <w:highlight w:val="yellow"/>
          <w:lang w:eastAsia="nb-NO"/>
        </w:rPr>
      </w:pPr>
    </w:p>
    <w:p w14:paraId="161C0CBA" w14:textId="59F1DFAD" w:rsidR="009B1D06" w:rsidRPr="00545C02" w:rsidRDefault="009B1D06">
      <w:pPr>
        <w:spacing w:line="259" w:lineRule="auto"/>
        <w:rPr>
          <w:noProof/>
          <w:highlight w:val="yellow"/>
          <w:lang w:eastAsia="nb-NO"/>
        </w:rPr>
      </w:pPr>
    </w:p>
    <w:p w14:paraId="6FC63579" w14:textId="57222D74" w:rsidR="009401E6" w:rsidRDefault="009B1D06" w:rsidP="009401E6">
      <w:pPr>
        <w:spacing w:line="259" w:lineRule="auto"/>
        <w:rPr>
          <w:highlight w:val="yellow"/>
        </w:rPr>
      </w:pPr>
      <w:r w:rsidRPr="00545C02">
        <w:rPr>
          <w:noProof/>
          <w:highlight w:val="yellow"/>
          <w:lang w:eastAsia="nb-NO"/>
        </w:rPr>
        <mc:AlternateContent>
          <mc:Choice Requires="wps">
            <w:drawing>
              <wp:anchor distT="0" distB="0" distL="114300" distR="114300" simplePos="0" relativeHeight="251658245" behindDoc="0" locked="0" layoutInCell="1" allowOverlap="1" wp14:anchorId="00F76144" wp14:editId="4C8E9B8D">
                <wp:simplePos x="0" y="0"/>
                <wp:positionH relativeFrom="column">
                  <wp:posOffset>3401032</wp:posOffset>
                </wp:positionH>
                <wp:positionV relativeFrom="paragraph">
                  <wp:posOffset>5316855</wp:posOffset>
                </wp:positionV>
                <wp:extent cx="2698115" cy="629285"/>
                <wp:effectExtent l="0" t="0" r="0" b="0"/>
                <wp:wrapNone/>
                <wp:docPr id="4"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629285"/>
                        </a:xfrm>
                        <a:prstGeom prst="rect">
                          <a:avLst/>
                        </a:prstGeom>
                        <a:noFill/>
                        <a:ln w="9525">
                          <a:noFill/>
                          <a:miter lim="800000"/>
                          <a:headEnd/>
                          <a:tailEnd/>
                        </a:ln>
                      </wps:spPr>
                      <wps:txbx>
                        <w:txbxContent>
                          <w:p w14:paraId="684D76DA" w14:textId="2D7AF558" w:rsidR="007F2E0D" w:rsidRPr="00FE7E57" w:rsidRDefault="007F2E0D" w:rsidP="00EF35E4">
                            <w:pPr>
                              <w:pStyle w:val="Rapportnummer"/>
                            </w:pPr>
                            <w:r>
                              <w:t>Publikasjonsnummer IE-</w:t>
                            </w:r>
                            <w:r w:rsidR="009851DB">
                              <w:t>1120</w:t>
                            </w:r>
                          </w:p>
                          <w:p w14:paraId="7ED57AB5" w14:textId="77777777" w:rsidR="007F2E0D" w:rsidRDefault="007F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6144" id="Tekstboks 2" o:spid="_x0000_s1027" type="#_x0000_t202" alt="&quot;&quot;" style="position:absolute;margin-left:267.8pt;margin-top:418.65pt;width:212.45pt;height:49.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" filled="f" stroked="f">
                <v:textbox>
                  <w:txbxContent>
                    <w:p w14:paraId="684D76DA" w14:textId="2D7AF558" w:rsidR="007F2E0D" w:rsidRPr="00FE7E57" w:rsidRDefault="007F2E0D" w:rsidP="00EF35E4">
                      <w:pPr>
                        <w:pStyle w:val="Rapportnummer"/>
                      </w:pPr>
                      <w:r>
                        <w:t>Publikasjonsnummer IE-</w:t>
                      </w:r>
                      <w:r w:rsidR="009851DB">
                        <w:t>1120</w:t>
                      </w:r>
                    </w:p>
                    <w:p w14:paraId="7ED57AB5" w14:textId="77777777" w:rsidR="007F2E0D" w:rsidRDefault="007F2E0D"/>
                  </w:txbxContent>
                </v:textbox>
              </v:shape>
            </w:pict>
          </mc:Fallback>
        </mc:AlternateContent>
      </w:r>
      <w:r w:rsidRPr="00545C02">
        <w:rPr>
          <w:noProof/>
          <w:highlight w:val="yellow"/>
          <w:lang w:eastAsia="nb-NO"/>
        </w:rPr>
        <w:drawing>
          <wp:anchor distT="0" distB="0" distL="114300" distR="114300" simplePos="0" relativeHeight="251658243" behindDoc="1" locked="0" layoutInCell="1" allowOverlap="1" wp14:anchorId="1E6D785B" wp14:editId="5A44B582">
            <wp:simplePos x="0" y="0"/>
            <wp:positionH relativeFrom="column">
              <wp:posOffset>1541145</wp:posOffset>
            </wp:positionH>
            <wp:positionV relativeFrom="paragraph">
              <wp:posOffset>3662190</wp:posOffset>
            </wp:positionV>
            <wp:extent cx="5580380" cy="1753235"/>
            <wp:effectExtent l="0" t="0" r="0" b="0"/>
            <wp:wrapNone/>
            <wp:docPr id="8" name="Bild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Bilde 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 t="25137" r="-10314"/>
                    <a:stretch/>
                  </pic:blipFill>
                  <pic:spPr bwMode="auto">
                    <a:xfrm>
                      <a:off x="0" y="0"/>
                      <a:ext cx="5580380"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C386C" w14:textId="77777777" w:rsidR="00E767F9" w:rsidRDefault="00912AE7" w:rsidP="004459AC">
      <w:pPr>
        <w:pStyle w:val="Kapitteltittel"/>
      </w:pPr>
      <w:r w:rsidRPr="00545C02">
        <w:rPr>
          <w:highlight w:val="yellow"/>
        </w:rPr>
        <w:br w:type="page"/>
      </w:r>
    </w:p>
    <w:p w14:paraId="6A2113EC" w14:textId="51CA9F1A" w:rsidR="004459AC" w:rsidRPr="00A94E1A" w:rsidRDefault="004459AC" w:rsidP="004459AC">
      <w:pPr>
        <w:pStyle w:val="Kapitteltittel"/>
      </w:pPr>
      <w:r w:rsidRPr="00A94E1A">
        <w:lastRenderedPageBreak/>
        <w:t>Forord</w:t>
      </w:r>
    </w:p>
    <w:p w14:paraId="12063774" w14:textId="68DE263C" w:rsidR="004459AC" w:rsidRDefault="004459AC" w:rsidP="00A406A7">
      <w:pPr>
        <w:rPr>
          <w:lang w:eastAsia="nb-NO"/>
        </w:rPr>
      </w:pPr>
      <w:r w:rsidRPr="00A94E1A">
        <w:rPr>
          <w:lang w:eastAsia="nb-NO"/>
        </w:rPr>
        <w:t xml:space="preserve">Direktoratet for e-helse </w:t>
      </w:r>
      <w:r w:rsidR="00D35F8A">
        <w:rPr>
          <w:lang w:eastAsia="nb-NO"/>
        </w:rPr>
        <w:t>er</w:t>
      </w:r>
      <w:r w:rsidR="006C4175">
        <w:t xml:space="preserve"> helse- og omsorgssektorens og departementets sentrale rådgiver på e-helseområdet</w:t>
      </w:r>
      <w:r w:rsidR="005E6944">
        <w:t>, jf</w:t>
      </w:r>
      <w:r w:rsidR="00D517D4">
        <w:t>r</w:t>
      </w:r>
      <w:r w:rsidR="005E6944">
        <w:t xml:space="preserve">. </w:t>
      </w:r>
      <w:r w:rsidR="00D05E27">
        <w:t xml:space="preserve">Direktoratet for e-helses </w:t>
      </w:r>
      <w:proofErr w:type="spellStart"/>
      <w:r w:rsidR="00D05E27">
        <w:t>h</w:t>
      </w:r>
      <w:r w:rsidR="005E6944">
        <w:t>ovedinstruks</w:t>
      </w:r>
      <w:proofErr w:type="spellEnd"/>
      <w:r w:rsidR="006C4175">
        <w:t>. Direktoratet skal følge med på utviklingen av digitaliseringen i sektoren og forhold som påvirker denne, deriblant oppdatere og tilgjengeliggjøre nøkkeltall og utføre situasjonsanalyser innenfor etatens fagområder</w:t>
      </w:r>
      <w:r w:rsidRPr="00A94E1A">
        <w:rPr>
          <w:lang w:eastAsia="nb-NO"/>
        </w:rPr>
        <w:t xml:space="preserve">. </w:t>
      </w:r>
      <w:r>
        <w:rPr>
          <w:lang w:eastAsia="nb-NO"/>
        </w:rPr>
        <w:t>Som en del av dette ansvaret</w:t>
      </w:r>
      <w:r w:rsidRPr="00A94E1A">
        <w:rPr>
          <w:lang w:eastAsia="nb-NO"/>
        </w:rPr>
        <w:t xml:space="preserve"> har Direktoratet for e-helse etablert en årlig rapport som vise</w:t>
      </w:r>
      <w:r w:rsidR="002908A9">
        <w:rPr>
          <w:lang w:eastAsia="nb-NO"/>
        </w:rPr>
        <w:t>r</w:t>
      </w:r>
      <w:r w:rsidRPr="00A94E1A">
        <w:rPr>
          <w:lang w:eastAsia="nb-NO"/>
        </w:rPr>
        <w:t xml:space="preserve"> utviklingen av ressursforbruk på IKT i helse- og omsorgstjenesten over tid.</w:t>
      </w:r>
      <w:r>
        <w:rPr>
          <w:lang w:eastAsia="nb-NO"/>
        </w:rPr>
        <w:t xml:space="preserve"> </w:t>
      </w:r>
    </w:p>
    <w:p w14:paraId="138A1424" w14:textId="77777777" w:rsidR="004459AC" w:rsidRPr="00A94E1A" w:rsidRDefault="004459AC" w:rsidP="00A406A7">
      <w:pPr>
        <w:rPr>
          <w:lang w:eastAsia="nb-NO"/>
        </w:rPr>
      </w:pPr>
      <w:r>
        <w:t>I global sammenheng rangeres norsk helsevesen på topp, også sammenlignet med andre høyinntektsland.</w:t>
      </w:r>
      <w:r>
        <w:rPr>
          <w:rStyle w:val="Fotnotereferanse"/>
        </w:rPr>
        <w:footnoteReference w:id="2"/>
      </w:r>
      <w:r>
        <w:t xml:space="preserve"> </w:t>
      </w:r>
      <w:r w:rsidRPr="00A94E1A">
        <w:rPr>
          <w:lang w:eastAsia="nb-NO"/>
        </w:rPr>
        <w:t xml:space="preserve">Nøkkeltall </w:t>
      </w:r>
      <w:r>
        <w:rPr>
          <w:lang w:eastAsia="nb-NO"/>
        </w:rPr>
        <w:t xml:space="preserve">fra denne rapporten </w:t>
      </w:r>
      <w:r w:rsidRPr="00A94E1A">
        <w:rPr>
          <w:lang w:eastAsia="nb-NO"/>
        </w:rPr>
        <w:t xml:space="preserve">og annet relevant tallmateriale muliggjør internasjonale sammenligninger og sammenligning </w:t>
      </w:r>
      <w:r>
        <w:rPr>
          <w:lang w:eastAsia="nb-NO"/>
        </w:rPr>
        <w:t xml:space="preserve">av virksomheter </w:t>
      </w:r>
      <w:r w:rsidRPr="00A94E1A">
        <w:rPr>
          <w:lang w:eastAsia="nb-NO"/>
        </w:rPr>
        <w:t>over tid</w:t>
      </w:r>
      <w:r>
        <w:rPr>
          <w:lang w:eastAsia="nb-NO"/>
        </w:rPr>
        <w:t xml:space="preserve">. </w:t>
      </w:r>
    </w:p>
    <w:p w14:paraId="333368FE" w14:textId="7C198C82" w:rsidR="004459AC" w:rsidRPr="00A94E1A" w:rsidRDefault="004459AC" w:rsidP="00A406A7">
      <w:pPr>
        <w:rPr>
          <w:lang w:eastAsia="nb-NO"/>
        </w:rPr>
      </w:pPr>
      <w:r w:rsidRPr="00A94E1A">
        <w:rPr>
          <w:lang w:eastAsia="nb-NO"/>
        </w:rPr>
        <w:t xml:space="preserve">Rapporten er </w:t>
      </w:r>
      <w:r w:rsidR="002D72F2" w:rsidRPr="1EF241F9">
        <w:rPr>
          <w:lang w:eastAsia="nb-NO"/>
        </w:rPr>
        <w:t>utarbeidet på</w:t>
      </w:r>
      <w:r w:rsidRPr="1EF241F9">
        <w:rPr>
          <w:lang w:eastAsia="nb-NO"/>
        </w:rPr>
        <w:t xml:space="preserve"> </w:t>
      </w:r>
      <w:r w:rsidR="2F92F56F" w:rsidRPr="00A94E1A">
        <w:rPr>
          <w:lang w:eastAsia="nb-NO"/>
        </w:rPr>
        <w:t>oppdrag fra Helse- og omsorgsdepartementet</w:t>
      </w:r>
      <w:r w:rsidRPr="00A94E1A">
        <w:rPr>
          <w:rStyle w:val="Fotnotereferanse"/>
          <w:lang w:eastAsia="nb-NO"/>
        </w:rPr>
        <w:footnoteReference w:id="3"/>
      </w:r>
      <w:r w:rsidR="2F92F56F" w:rsidRPr="00A94E1A">
        <w:rPr>
          <w:lang w:eastAsia="nb-NO"/>
        </w:rPr>
        <w:t xml:space="preserve">. Analysene </w:t>
      </w:r>
      <w:r w:rsidR="4EBB47D4" w:rsidRPr="21A015BE">
        <w:rPr>
          <w:lang w:eastAsia="nb-NO"/>
        </w:rPr>
        <w:t>omfatter</w:t>
      </w:r>
      <w:r w:rsidRPr="00A94E1A">
        <w:rPr>
          <w:lang w:eastAsia="nb-NO"/>
        </w:rPr>
        <w:t xml:space="preserve"> de regionale helseforetakene</w:t>
      </w:r>
      <w:r w:rsidR="00F25278">
        <w:rPr>
          <w:lang w:eastAsia="nb-NO"/>
        </w:rPr>
        <w:t>, inkludert private ideelle</w:t>
      </w:r>
      <w:r w:rsidRPr="00A94E1A">
        <w:rPr>
          <w:lang w:eastAsia="nb-NO"/>
        </w:rPr>
        <w:t xml:space="preserve"> </w:t>
      </w:r>
      <w:r w:rsidR="00B23A32">
        <w:rPr>
          <w:lang w:eastAsia="nb-NO"/>
        </w:rPr>
        <w:t>sykehus,</w:t>
      </w:r>
      <w:r w:rsidRPr="00A94E1A">
        <w:rPr>
          <w:lang w:eastAsia="nb-NO"/>
        </w:rPr>
        <w:t xml:space="preserve"> </w:t>
      </w:r>
      <w:r w:rsidR="2F92F56F" w:rsidRPr="00A94E1A">
        <w:rPr>
          <w:lang w:eastAsia="nb-NO"/>
        </w:rPr>
        <w:t>og</w:t>
      </w:r>
      <w:r w:rsidR="005A40A5">
        <w:rPr>
          <w:lang w:eastAsia="nb-NO"/>
        </w:rPr>
        <w:t xml:space="preserve"> </w:t>
      </w:r>
      <w:r w:rsidR="0AA9992A">
        <w:rPr>
          <w:lang w:eastAsia="nb-NO"/>
        </w:rPr>
        <w:t>et</w:t>
      </w:r>
      <w:r w:rsidR="00B41488">
        <w:rPr>
          <w:lang w:eastAsia="nb-NO"/>
        </w:rPr>
        <w:t xml:space="preserve"> utvalg av </w:t>
      </w:r>
      <w:r w:rsidRPr="00A94E1A">
        <w:rPr>
          <w:lang w:eastAsia="nb-NO"/>
        </w:rPr>
        <w:t>nasjonale virksomheter</w:t>
      </w:r>
      <w:r w:rsidR="009A0DAE">
        <w:rPr>
          <w:lang w:eastAsia="nb-NO"/>
        </w:rPr>
        <w:t xml:space="preserve"> med vesentlig</w:t>
      </w:r>
      <w:r w:rsidR="00224645">
        <w:rPr>
          <w:lang w:eastAsia="nb-NO"/>
        </w:rPr>
        <w:t>e IKT-funksjoner i helse- og omsorgssektoren</w:t>
      </w:r>
      <w:r w:rsidRPr="00A94E1A">
        <w:rPr>
          <w:lang w:eastAsia="nb-NO"/>
        </w:rPr>
        <w:t>. Kommunale helse- og omsorgstjenester er ikke inkludert, men på sikt er målet å dekke hele helse- og omsorgstjenesten.</w:t>
      </w:r>
    </w:p>
    <w:p w14:paraId="4A17B837" w14:textId="3B821C1A" w:rsidR="004459AC" w:rsidRPr="00A94E1A" w:rsidRDefault="004459AC" w:rsidP="00A406A7">
      <w:pPr>
        <w:rPr>
          <w:lang w:eastAsia="nb-NO"/>
        </w:rPr>
      </w:pPr>
      <w:r>
        <w:rPr>
          <w:lang w:eastAsia="nb-NO"/>
        </w:rPr>
        <w:t>Tallgrunnlaget i</w:t>
      </w:r>
      <w:r w:rsidRPr="00A94E1A">
        <w:rPr>
          <w:lang w:eastAsia="nb-NO"/>
        </w:rPr>
        <w:t>nngå</w:t>
      </w:r>
      <w:r>
        <w:rPr>
          <w:lang w:eastAsia="nb-NO"/>
        </w:rPr>
        <w:t>r</w:t>
      </w:r>
      <w:r w:rsidRPr="00A94E1A">
        <w:rPr>
          <w:lang w:eastAsia="nb-NO"/>
        </w:rPr>
        <w:t xml:space="preserve"> </w:t>
      </w:r>
      <w:r>
        <w:rPr>
          <w:lang w:eastAsia="nb-NO"/>
        </w:rPr>
        <w:t>i Direktoratet for e-helses nasjonale e-helsemonitor</w:t>
      </w:r>
      <w:r>
        <w:rPr>
          <w:rStyle w:val="Fotnotereferanse"/>
          <w:lang w:eastAsia="nb-NO"/>
        </w:rPr>
        <w:footnoteReference w:id="4"/>
      </w:r>
      <w:r w:rsidRPr="00A94E1A">
        <w:rPr>
          <w:lang w:eastAsia="nb-NO"/>
        </w:rPr>
        <w:t xml:space="preserve">. De fire helseregionene og de sentrale nasjonale IKT-virksomhetene i helsetjenesten har derfor sammen </w:t>
      </w:r>
      <w:r>
        <w:rPr>
          <w:lang w:eastAsia="nb-NO"/>
        </w:rPr>
        <w:t>med</w:t>
      </w:r>
      <w:r w:rsidRPr="00A94E1A">
        <w:rPr>
          <w:lang w:eastAsia="nb-NO"/>
        </w:rPr>
        <w:t xml:space="preserve"> Direktoratet for e-helse etablert en felles kostnadsmodell basert på Gartners internasjonal</w:t>
      </w:r>
      <w:r>
        <w:rPr>
          <w:lang w:eastAsia="nb-NO"/>
        </w:rPr>
        <w:t>e</w:t>
      </w:r>
      <w:r w:rsidRPr="00A94E1A">
        <w:rPr>
          <w:lang w:eastAsia="nb-NO"/>
        </w:rPr>
        <w:t xml:space="preserve"> definisjoner og metodikk</w:t>
      </w:r>
      <w:r w:rsidR="00CC6061">
        <w:rPr>
          <w:lang w:eastAsia="nb-NO"/>
        </w:rPr>
        <w:t xml:space="preserve"> for innrapportering av tallgrunnlag til denne rapporten</w:t>
      </w:r>
      <w:r w:rsidRPr="00A94E1A">
        <w:rPr>
          <w:lang w:eastAsia="nb-NO"/>
        </w:rPr>
        <w:t>.</w:t>
      </w:r>
      <w:r w:rsidR="00CC6061">
        <w:rPr>
          <w:lang w:eastAsia="nb-NO"/>
        </w:rPr>
        <w:t xml:space="preserve"> Årets rapport</w:t>
      </w:r>
      <w:r w:rsidR="00351C48" w:rsidRPr="00A94E1A">
        <w:rPr>
          <w:lang w:eastAsia="nb-NO"/>
        </w:rPr>
        <w:t xml:space="preserve"> </w:t>
      </w:r>
      <w:r w:rsidRPr="00A94E1A">
        <w:rPr>
          <w:lang w:eastAsia="nb-NO"/>
        </w:rPr>
        <w:t xml:space="preserve">benytter de samme definisjonene og metodikken som </w:t>
      </w:r>
      <w:r w:rsidR="00800C52">
        <w:rPr>
          <w:lang w:eastAsia="nb-NO"/>
        </w:rPr>
        <w:t xml:space="preserve">tidligere rapportering </w:t>
      </w:r>
      <w:r w:rsidR="00C75F84">
        <w:rPr>
          <w:lang w:eastAsia="nb-NO"/>
        </w:rPr>
        <w:t>i perioden 2017-2020.</w:t>
      </w:r>
      <w:r w:rsidRPr="6B480BCC">
        <w:rPr>
          <w:lang w:eastAsia="nb-NO"/>
        </w:rPr>
        <w:t xml:space="preserve"> </w:t>
      </w:r>
    </w:p>
    <w:p w14:paraId="17E0B84B" w14:textId="51C150CC" w:rsidR="004459AC" w:rsidRDefault="004459AC" w:rsidP="00A406A7">
      <w:pPr>
        <w:spacing w:after="0"/>
        <w:rPr>
          <w:lang w:eastAsia="nb-NO"/>
        </w:rPr>
      </w:pPr>
      <w:r w:rsidRPr="00484FB2">
        <w:rPr>
          <w:lang w:eastAsia="nb-NO"/>
        </w:rPr>
        <w:t xml:space="preserve">Direktoratet for e-helse har </w:t>
      </w:r>
      <w:r w:rsidR="008A4075">
        <w:rPr>
          <w:lang w:eastAsia="nb-NO"/>
        </w:rPr>
        <w:t>i</w:t>
      </w:r>
      <w:r w:rsidR="008A4075" w:rsidRPr="00484FB2">
        <w:rPr>
          <w:lang w:eastAsia="nb-NO"/>
        </w:rPr>
        <w:t xml:space="preserve"> </w:t>
      </w:r>
      <w:r w:rsidRPr="00484FB2">
        <w:rPr>
          <w:lang w:eastAsia="nb-NO"/>
        </w:rPr>
        <w:t xml:space="preserve">arbeidet med rapporten </w:t>
      </w:r>
      <w:r w:rsidR="008A4075">
        <w:rPr>
          <w:lang w:eastAsia="nb-NO"/>
        </w:rPr>
        <w:t>hatt</w:t>
      </w:r>
      <w:r w:rsidR="008A4075" w:rsidRPr="00484FB2">
        <w:rPr>
          <w:lang w:eastAsia="nb-NO"/>
        </w:rPr>
        <w:t xml:space="preserve"> </w:t>
      </w:r>
      <w:r w:rsidRPr="00484FB2">
        <w:rPr>
          <w:lang w:eastAsia="nb-NO"/>
        </w:rPr>
        <w:t>bistand fra Gartner</w:t>
      </w:r>
      <w:r w:rsidR="00F1058A">
        <w:rPr>
          <w:lang w:eastAsia="nb-NO"/>
        </w:rPr>
        <w:t xml:space="preserve">, </w:t>
      </w:r>
      <w:r w:rsidRPr="00484FB2">
        <w:rPr>
          <w:lang w:eastAsia="nb-NO"/>
        </w:rPr>
        <w:t xml:space="preserve">de regionale helseforetakene med IKT-leverandører og de nasjonale aktørene som </w:t>
      </w:r>
      <w:r>
        <w:rPr>
          <w:lang w:eastAsia="nb-NO"/>
        </w:rPr>
        <w:t>inngår</w:t>
      </w:r>
      <w:r w:rsidRPr="00484FB2">
        <w:rPr>
          <w:lang w:eastAsia="nb-NO"/>
        </w:rPr>
        <w:t xml:space="preserve"> i analysen. </w:t>
      </w:r>
      <w:r>
        <w:rPr>
          <w:lang w:eastAsia="nb-NO"/>
        </w:rPr>
        <w:t>D</w:t>
      </w:r>
      <w:r w:rsidRPr="00484FB2">
        <w:rPr>
          <w:lang w:eastAsia="nb-NO"/>
        </w:rPr>
        <w:t xml:space="preserve">irektoratet takker for </w:t>
      </w:r>
      <w:r>
        <w:rPr>
          <w:lang w:eastAsia="nb-NO"/>
        </w:rPr>
        <w:t xml:space="preserve">velvilje </w:t>
      </w:r>
      <w:r w:rsidRPr="00484FB2">
        <w:rPr>
          <w:lang w:eastAsia="nb-NO"/>
        </w:rPr>
        <w:t xml:space="preserve">fra helsetjenesten </w:t>
      </w:r>
      <w:r>
        <w:rPr>
          <w:lang w:eastAsia="nb-NO"/>
        </w:rPr>
        <w:t>v</w:t>
      </w:r>
      <w:r w:rsidRPr="00484FB2">
        <w:rPr>
          <w:lang w:eastAsia="nb-NO"/>
        </w:rPr>
        <w:t>ed innhenting av tallmateriale og</w:t>
      </w:r>
      <w:r>
        <w:rPr>
          <w:lang w:eastAsia="nb-NO"/>
        </w:rPr>
        <w:t xml:space="preserve"> innspill til</w:t>
      </w:r>
      <w:r w:rsidRPr="00484FB2">
        <w:rPr>
          <w:lang w:eastAsia="nb-NO"/>
        </w:rPr>
        <w:t xml:space="preserve"> forbedringer til rapporten. </w:t>
      </w:r>
      <w:r>
        <w:rPr>
          <w:lang w:eastAsia="nb-NO"/>
        </w:rPr>
        <w:t>V</w:t>
      </w:r>
      <w:r w:rsidRPr="00484FB2">
        <w:rPr>
          <w:lang w:eastAsia="nb-NO"/>
        </w:rPr>
        <w:t xml:space="preserve">irksomhetene står </w:t>
      </w:r>
      <w:r>
        <w:rPr>
          <w:lang w:eastAsia="nb-NO"/>
        </w:rPr>
        <w:t>selv</w:t>
      </w:r>
      <w:r w:rsidRPr="00484FB2">
        <w:rPr>
          <w:lang w:eastAsia="nb-NO"/>
        </w:rPr>
        <w:t xml:space="preserve"> ansvarlige for de data som er </w:t>
      </w:r>
      <w:proofErr w:type="gramStart"/>
      <w:r w:rsidRPr="00484FB2">
        <w:rPr>
          <w:lang w:eastAsia="nb-NO"/>
        </w:rPr>
        <w:t>avgitt</w:t>
      </w:r>
      <w:proofErr w:type="gramEnd"/>
      <w:r w:rsidRPr="00484FB2">
        <w:rPr>
          <w:lang w:eastAsia="nb-NO"/>
        </w:rPr>
        <w:t xml:space="preserve"> til årets rapport.</w:t>
      </w:r>
    </w:p>
    <w:p w14:paraId="1D7B4B38" w14:textId="33EB2DC8" w:rsidR="005705E4" w:rsidRDefault="005705E4">
      <w:pPr>
        <w:tabs>
          <w:tab w:val="clear" w:pos="357"/>
        </w:tabs>
        <w:spacing w:after="0" w:line="240" w:lineRule="auto"/>
        <w:rPr>
          <w:lang w:eastAsia="nb-NO"/>
        </w:rPr>
      </w:pPr>
      <w:r>
        <w:rPr>
          <w:lang w:eastAsia="nb-NO"/>
        </w:rPr>
        <w:br w:type="page"/>
      </w:r>
    </w:p>
    <w:sdt>
      <w:sdtPr>
        <w:rPr>
          <w:rFonts w:ascii="Arial" w:eastAsiaTheme="minorHAnsi" w:hAnsi="Arial" w:cstheme="minorBidi"/>
          <w:b w:val="0"/>
          <w:color w:val="auto"/>
          <w:sz w:val="22"/>
          <w:szCs w:val="22"/>
          <w:highlight w:val="yellow"/>
        </w:rPr>
        <w:id w:val="-25874016"/>
        <w:docPartObj>
          <w:docPartGallery w:val="Table of Contents"/>
          <w:docPartUnique/>
        </w:docPartObj>
      </w:sdtPr>
      <w:sdtEndPr>
        <w:rPr>
          <w:bCs/>
        </w:rPr>
      </w:sdtEndPr>
      <w:sdtContent>
        <w:p w14:paraId="704D2CAB" w14:textId="77777777" w:rsidR="004459AC" w:rsidRPr="00552C9A" w:rsidRDefault="004459AC" w:rsidP="004459AC">
          <w:pPr>
            <w:pStyle w:val="Overskriftforinnholdsfortegnelse"/>
            <w:tabs>
              <w:tab w:val="left" w:pos="3354"/>
            </w:tabs>
            <w:spacing w:before="0" w:after="240"/>
            <w:rPr>
              <w:rStyle w:val="KapitteltittelTegn"/>
            </w:rPr>
          </w:pPr>
          <w:r w:rsidRPr="00552C9A">
            <w:rPr>
              <w:rStyle w:val="KapitteltittelTegn"/>
              <w:b/>
            </w:rPr>
            <w:t>Innhold</w:t>
          </w:r>
        </w:p>
        <w:p w14:paraId="6807B6CA" w14:textId="7B0A6618" w:rsidR="000357C1" w:rsidRDefault="004459AC">
          <w:pPr>
            <w:pStyle w:val="INNH1"/>
            <w:rPr>
              <w:rFonts w:asciiTheme="minorHAnsi" w:eastAsiaTheme="minorEastAsia" w:hAnsiTheme="minorHAnsi"/>
              <w:b w:val="0"/>
              <w:color w:val="auto"/>
              <w:lang w:eastAsia="nb-NO"/>
            </w:rPr>
          </w:pPr>
          <w:r w:rsidRPr="00552C9A">
            <w:rPr>
              <w:b w:val="0"/>
              <w:noProof w:val="0"/>
              <w:color w:val="auto"/>
            </w:rPr>
            <w:fldChar w:fldCharType="begin"/>
          </w:r>
          <w:r w:rsidRPr="00552C9A">
            <w:instrText xml:space="preserve"> TOC \o "1-3" \h \z \u </w:instrText>
          </w:r>
          <w:r w:rsidRPr="00552C9A">
            <w:rPr>
              <w:b w:val="0"/>
              <w:noProof w:val="0"/>
              <w:color w:val="auto"/>
            </w:rPr>
            <w:fldChar w:fldCharType="separate"/>
          </w:r>
          <w:hyperlink w:anchor="_Toc146784536" w:history="1">
            <w:r w:rsidR="000357C1" w:rsidRPr="002C3549">
              <w:rPr>
                <w:rStyle w:val="Hyperkobling"/>
              </w:rPr>
              <w:t>1</w:t>
            </w:r>
            <w:r w:rsidR="000357C1">
              <w:rPr>
                <w:rFonts w:asciiTheme="minorHAnsi" w:eastAsiaTheme="minorEastAsia" w:hAnsiTheme="minorHAnsi"/>
                <w:b w:val="0"/>
                <w:color w:val="auto"/>
                <w:lang w:eastAsia="nb-NO"/>
              </w:rPr>
              <w:tab/>
            </w:r>
            <w:r w:rsidR="000357C1" w:rsidRPr="002C3549">
              <w:rPr>
                <w:rStyle w:val="Hyperkobling"/>
              </w:rPr>
              <w:t>Innledning</w:t>
            </w:r>
            <w:r w:rsidR="000357C1">
              <w:rPr>
                <w:webHidden/>
              </w:rPr>
              <w:tab/>
            </w:r>
            <w:r w:rsidR="000357C1">
              <w:rPr>
                <w:webHidden/>
              </w:rPr>
              <w:fldChar w:fldCharType="begin"/>
            </w:r>
            <w:r w:rsidR="000357C1">
              <w:rPr>
                <w:webHidden/>
              </w:rPr>
              <w:instrText xml:space="preserve"> PAGEREF _Toc146784536 \h </w:instrText>
            </w:r>
            <w:r w:rsidR="000357C1">
              <w:rPr>
                <w:webHidden/>
              </w:rPr>
            </w:r>
            <w:r w:rsidR="000357C1">
              <w:rPr>
                <w:webHidden/>
              </w:rPr>
              <w:fldChar w:fldCharType="separate"/>
            </w:r>
            <w:r w:rsidR="00943236">
              <w:rPr>
                <w:webHidden/>
              </w:rPr>
              <w:t>5</w:t>
            </w:r>
            <w:r w:rsidR="000357C1">
              <w:rPr>
                <w:webHidden/>
              </w:rPr>
              <w:fldChar w:fldCharType="end"/>
            </w:r>
          </w:hyperlink>
        </w:p>
        <w:p w14:paraId="0AFC5414" w14:textId="3377CE40" w:rsidR="000357C1" w:rsidRDefault="00DC6F8E">
          <w:pPr>
            <w:pStyle w:val="INNH2"/>
            <w:rPr>
              <w:rFonts w:asciiTheme="minorHAnsi" w:eastAsiaTheme="minorEastAsia" w:hAnsiTheme="minorHAnsi"/>
              <w:noProof/>
              <w:lang w:eastAsia="nb-NO"/>
            </w:rPr>
          </w:pPr>
          <w:hyperlink w:anchor="_Toc146784537" w:history="1">
            <w:r w:rsidR="000357C1" w:rsidRPr="002C3549">
              <w:rPr>
                <w:rStyle w:val="Hyperkobling"/>
                <w:noProof/>
              </w:rPr>
              <w:t>1.1</w:t>
            </w:r>
            <w:r w:rsidR="000357C1">
              <w:rPr>
                <w:rFonts w:asciiTheme="minorHAnsi" w:eastAsiaTheme="minorEastAsia" w:hAnsiTheme="minorHAnsi"/>
                <w:noProof/>
                <w:lang w:eastAsia="nb-NO"/>
              </w:rPr>
              <w:tab/>
            </w:r>
            <w:r w:rsidR="000357C1" w:rsidRPr="002C3549">
              <w:rPr>
                <w:rStyle w:val="Hyperkobling"/>
                <w:noProof/>
              </w:rPr>
              <w:t>Formål og bakgrunn</w:t>
            </w:r>
            <w:r w:rsidR="000357C1">
              <w:rPr>
                <w:noProof/>
                <w:webHidden/>
              </w:rPr>
              <w:tab/>
            </w:r>
            <w:r w:rsidR="000357C1">
              <w:rPr>
                <w:noProof/>
                <w:webHidden/>
              </w:rPr>
              <w:fldChar w:fldCharType="begin"/>
            </w:r>
            <w:r w:rsidR="000357C1">
              <w:rPr>
                <w:noProof/>
                <w:webHidden/>
              </w:rPr>
              <w:instrText xml:space="preserve"> PAGEREF _Toc146784537 \h </w:instrText>
            </w:r>
            <w:r w:rsidR="000357C1">
              <w:rPr>
                <w:noProof/>
                <w:webHidden/>
              </w:rPr>
            </w:r>
            <w:r w:rsidR="000357C1">
              <w:rPr>
                <w:noProof/>
                <w:webHidden/>
              </w:rPr>
              <w:fldChar w:fldCharType="separate"/>
            </w:r>
            <w:r w:rsidR="00943236">
              <w:rPr>
                <w:noProof/>
                <w:webHidden/>
              </w:rPr>
              <w:t>5</w:t>
            </w:r>
            <w:r w:rsidR="000357C1">
              <w:rPr>
                <w:noProof/>
                <w:webHidden/>
              </w:rPr>
              <w:fldChar w:fldCharType="end"/>
            </w:r>
          </w:hyperlink>
        </w:p>
        <w:p w14:paraId="0D323DF0" w14:textId="541E7ACC" w:rsidR="000357C1" w:rsidRDefault="00DC6F8E">
          <w:pPr>
            <w:pStyle w:val="INNH2"/>
            <w:rPr>
              <w:rFonts w:asciiTheme="minorHAnsi" w:eastAsiaTheme="minorEastAsia" w:hAnsiTheme="minorHAnsi"/>
              <w:noProof/>
              <w:lang w:eastAsia="nb-NO"/>
            </w:rPr>
          </w:pPr>
          <w:hyperlink w:anchor="_Toc146784538" w:history="1">
            <w:r w:rsidR="000357C1" w:rsidRPr="002C3549">
              <w:rPr>
                <w:rStyle w:val="Hyperkobling"/>
                <w:noProof/>
              </w:rPr>
              <w:t>1.2</w:t>
            </w:r>
            <w:r w:rsidR="000357C1">
              <w:rPr>
                <w:rFonts w:asciiTheme="minorHAnsi" w:eastAsiaTheme="minorEastAsia" w:hAnsiTheme="minorHAnsi"/>
                <w:noProof/>
                <w:lang w:eastAsia="nb-NO"/>
              </w:rPr>
              <w:tab/>
            </w:r>
            <w:r w:rsidR="000357C1" w:rsidRPr="002C3549">
              <w:rPr>
                <w:rStyle w:val="Hyperkobling"/>
                <w:noProof/>
              </w:rPr>
              <w:t>Omfang og avgrensninger</w:t>
            </w:r>
            <w:r w:rsidR="000357C1">
              <w:rPr>
                <w:noProof/>
                <w:webHidden/>
              </w:rPr>
              <w:tab/>
            </w:r>
            <w:r w:rsidR="000357C1">
              <w:rPr>
                <w:noProof/>
                <w:webHidden/>
              </w:rPr>
              <w:fldChar w:fldCharType="begin"/>
            </w:r>
            <w:r w:rsidR="000357C1">
              <w:rPr>
                <w:noProof/>
                <w:webHidden/>
              </w:rPr>
              <w:instrText xml:space="preserve"> PAGEREF _Toc146784538 \h </w:instrText>
            </w:r>
            <w:r w:rsidR="000357C1">
              <w:rPr>
                <w:noProof/>
                <w:webHidden/>
              </w:rPr>
            </w:r>
            <w:r w:rsidR="000357C1">
              <w:rPr>
                <w:noProof/>
                <w:webHidden/>
              </w:rPr>
              <w:fldChar w:fldCharType="separate"/>
            </w:r>
            <w:r w:rsidR="00943236">
              <w:rPr>
                <w:noProof/>
                <w:webHidden/>
              </w:rPr>
              <w:t>6</w:t>
            </w:r>
            <w:r w:rsidR="000357C1">
              <w:rPr>
                <w:noProof/>
                <w:webHidden/>
              </w:rPr>
              <w:fldChar w:fldCharType="end"/>
            </w:r>
          </w:hyperlink>
        </w:p>
        <w:p w14:paraId="5B7EDC47" w14:textId="7C7D1498" w:rsidR="000357C1" w:rsidRDefault="00DC6F8E">
          <w:pPr>
            <w:pStyle w:val="INNH2"/>
            <w:rPr>
              <w:rFonts w:asciiTheme="minorHAnsi" w:eastAsiaTheme="minorEastAsia" w:hAnsiTheme="minorHAnsi"/>
              <w:noProof/>
              <w:lang w:eastAsia="nb-NO"/>
            </w:rPr>
          </w:pPr>
          <w:hyperlink w:anchor="_Toc146784539" w:history="1">
            <w:r w:rsidR="000357C1" w:rsidRPr="002C3549">
              <w:rPr>
                <w:rStyle w:val="Hyperkobling"/>
                <w:noProof/>
              </w:rPr>
              <w:t>1.3</w:t>
            </w:r>
            <w:r w:rsidR="000357C1">
              <w:rPr>
                <w:rFonts w:asciiTheme="minorHAnsi" w:eastAsiaTheme="minorEastAsia" w:hAnsiTheme="minorHAnsi"/>
                <w:noProof/>
                <w:lang w:eastAsia="nb-NO"/>
              </w:rPr>
              <w:tab/>
            </w:r>
            <w:r w:rsidR="000357C1" w:rsidRPr="002C3549">
              <w:rPr>
                <w:rStyle w:val="Hyperkobling"/>
                <w:noProof/>
              </w:rPr>
              <w:t>Kvalitet og usikkerhet i tallene</w:t>
            </w:r>
            <w:r w:rsidR="000357C1">
              <w:rPr>
                <w:noProof/>
                <w:webHidden/>
              </w:rPr>
              <w:tab/>
            </w:r>
            <w:r w:rsidR="000357C1">
              <w:rPr>
                <w:noProof/>
                <w:webHidden/>
              </w:rPr>
              <w:fldChar w:fldCharType="begin"/>
            </w:r>
            <w:r w:rsidR="000357C1">
              <w:rPr>
                <w:noProof/>
                <w:webHidden/>
              </w:rPr>
              <w:instrText xml:space="preserve"> PAGEREF _Toc146784539 \h </w:instrText>
            </w:r>
            <w:r w:rsidR="000357C1">
              <w:rPr>
                <w:noProof/>
                <w:webHidden/>
              </w:rPr>
            </w:r>
            <w:r w:rsidR="000357C1">
              <w:rPr>
                <w:noProof/>
                <w:webHidden/>
              </w:rPr>
              <w:fldChar w:fldCharType="separate"/>
            </w:r>
            <w:r w:rsidR="00943236">
              <w:rPr>
                <w:noProof/>
                <w:webHidden/>
              </w:rPr>
              <w:t>7</w:t>
            </w:r>
            <w:r w:rsidR="000357C1">
              <w:rPr>
                <w:noProof/>
                <w:webHidden/>
              </w:rPr>
              <w:fldChar w:fldCharType="end"/>
            </w:r>
          </w:hyperlink>
        </w:p>
        <w:p w14:paraId="2CD5838F" w14:textId="488AE0D0" w:rsidR="000357C1" w:rsidRDefault="00DC6F8E">
          <w:pPr>
            <w:pStyle w:val="INNH1"/>
            <w:rPr>
              <w:rFonts w:asciiTheme="minorHAnsi" w:eastAsiaTheme="minorEastAsia" w:hAnsiTheme="minorHAnsi"/>
              <w:b w:val="0"/>
              <w:color w:val="auto"/>
              <w:lang w:eastAsia="nb-NO"/>
            </w:rPr>
          </w:pPr>
          <w:hyperlink w:anchor="_Toc146784540" w:history="1">
            <w:r w:rsidR="000357C1" w:rsidRPr="002C3549">
              <w:rPr>
                <w:rStyle w:val="Hyperkobling"/>
              </w:rPr>
              <w:t>2</w:t>
            </w:r>
            <w:r w:rsidR="000357C1">
              <w:rPr>
                <w:rFonts w:asciiTheme="minorHAnsi" w:eastAsiaTheme="minorEastAsia" w:hAnsiTheme="minorHAnsi"/>
                <w:b w:val="0"/>
                <w:color w:val="auto"/>
                <w:lang w:eastAsia="nb-NO"/>
              </w:rPr>
              <w:tab/>
            </w:r>
            <w:r w:rsidR="000357C1" w:rsidRPr="002C3549">
              <w:rPr>
                <w:rStyle w:val="Hyperkobling"/>
              </w:rPr>
              <w:t>Nasjonalt overblikk på utviklingen i IKT-ressursinnsats</w:t>
            </w:r>
            <w:r w:rsidR="000357C1">
              <w:rPr>
                <w:webHidden/>
              </w:rPr>
              <w:tab/>
            </w:r>
            <w:r w:rsidR="000357C1">
              <w:rPr>
                <w:webHidden/>
              </w:rPr>
              <w:fldChar w:fldCharType="begin"/>
            </w:r>
            <w:r w:rsidR="000357C1">
              <w:rPr>
                <w:webHidden/>
              </w:rPr>
              <w:instrText xml:space="preserve"> PAGEREF _Toc146784540 \h </w:instrText>
            </w:r>
            <w:r w:rsidR="000357C1">
              <w:rPr>
                <w:webHidden/>
              </w:rPr>
            </w:r>
            <w:r w:rsidR="000357C1">
              <w:rPr>
                <w:webHidden/>
              </w:rPr>
              <w:fldChar w:fldCharType="separate"/>
            </w:r>
            <w:r w:rsidR="00943236">
              <w:rPr>
                <w:webHidden/>
              </w:rPr>
              <w:t>9</w:t>
            </w:r>
            <w:r w:rsidR="000357C1">
              <w:rPr>
                <w:webHidden/>
              </w:rPr>
              <w:fldChar w:fldCharType="end"/>
            </w:r>
          </w:hyperlink>
        </w:p>
        <w:p w14:paraId="1624D0C8" w14:textId="1DC3A34B" w:rsidR="000357C1" w:rsidRDefault="00DC6F8E">
          <w:pPr>
            <w:pStyle w:val="INNH2"/>
            <w:rPr>
              <w:rFonts w:asciiTheme="minorHAnsi" w:eastAsiaTheme="minorEastAsia" w:hAnsiTheme="minorHAnsi"/>
              <w:noProof/>
              <w:lang w:eastAsia="nb-NO"/>
            </w:rPr>
          </w:pPr>
          <w:hyperlink w:anchor="_Toc146784541" w:history="1">
            <w:r w:rsidR="000357C1" w:rsidRPr="002C3549">
              <w:rPr>
                <w:rStyle w:val="Hyperkobling"/>
                <w:noProof/>
              </w:rPr>
              <w:t>2.1</w:t>
            </w:r>
            <w:r w:rsidR="000357C1">
              <w:rPr>
                <w:rFonts w:asciiTheme="minorHAnsi" w:eastAsiaTheme="minorEastAsia" w:hAnsiTheme="minorHAnsi"/>
                <w:noProof/>
                <w:lang w:eastAsia="nb-NO"/>
              </w:rPr>
              <w:tab/>
            </w:r>
            <w:r w:rsidR="000357C1" w:rsidRPr="002C3549">
              <w:rPr>
                <w:rStyle w:val="Hyperkobling"/>
                <w:noProof/>
              </w:rPr>
              <w:t>Kontekst og overblikk på sektoren</w:t>
            </w:r>
            <w:r w:rsidR="000357C1">
              <w:rPr>
                <w:noProof/>
                <w:webHidden/>
              </w:rPr>
              <w:tab/>
            </w:r>
            <w:r w:rsidR="000357C1">
              <w:rPr>
                <w:noProof/>
                <w:webHidden/>
              </w:rPr>
              <w:fldChar w:fldCharType="begin"/>
            </w:r>
            <w:r w:rsidR="000357C1">
              <w:rPr>
                <w:noProof/>
                <w:webHidden/>
              </w:rPr>
              <w:instrText xml:space="preserve"> PAGEREF _Toc146784541 \h </w:instrText>
            </w:r>
            <w:r w:rsidR="000357C1">
              <w:rPr>
                <w:noProof/>
                <w:webHidden/>
              </w:rPr>
            </w:r>
            <w:r w:rsidR="000357C1">
              <w:rPr>
                <w:noProof/>
                <w:webHidden/>
              </w:rPr>
              <w:fldChar w:fldCharType="separate"/>
            </w:r>
            <w:r w:rsidR="00943236">
              <w:rPr>
                <w:noProof/>
                <w:webHidden/>
              </w:rPr>
              <w:t>9</w:t>
            </w:r>
            <w:r w:rsidR="000357C1">
              <w:rPr>
                <w:noProof/>
                <w:webHidden/>
              </w:rPr>
              <w:fldChar w:fldCharType="end"/>
            </w:r>
          </w:hyperlink>
        </w:p>
        <w:p w14:paraId="1D6A353E" w14:textId="6D0203A4" w:rsidR="000357C1" w:rsidRDefault="00DC6F8E">
          <w:pPr>
            <w:pStyle w:val="INNH2"/>
            <w:rPr>
              <w:rFonts w:asciiTheme="minorHAnsi" w:eastAsiaTheme="minorEastAsia" w:hAnsiTheme="minorHAnsi"/>
              <w:noProof/>
              <w:lang w:eastAsia="nb-NO"/>
            </w:rPr>
          </w:pPr>
          <w:hyperlink w:anchor="_Toc146784542" w:history="1">
            <w:r w:rsidR="000357C1" w:rsidRPr="002C3549">
              <w:rPr>
                <w:rStyle w:val="Hyperkobling"/>
                <w:noProof/>
              </w:rPr>
              <w:t>2.2</w:t>
            </w:r>
            <w:r w:rsidR="000357C1">
              <w:rPr>
                <w:rFonts w:asciiTheme="minorHAnsi" w:eastAsiaTheme="minorEastAsia" w:hAnsiTheme="minorHAnsi"/>
                <w:noProof/>
                <w:lang w:eastAsia="nb-NO"/>
              </w:rPr>
              <w:tab/>
            </w:r>
            <w:r w:rsidR="000357C1" w:rsidRPr="002C3549">
              <w:rPr>
                <w:rStyle w:val="Hyperkobling"/>
                <w:noProof/>
              </w:rPr>
              <w:t>Kostnadsutvikling nasjonalt</w:t>
            </w:r>
            <w:r w:rsidR="000357C1">
              <w:rPr>
                <w:noProof/>
                <w:webHidden/>
              </w:rPr>
              <w:tab/>
            </w:r>
            <w:r w:rsidR="000357C1">
              <w:rPr>
                <w:noProof/>
                <w:webHidden/>
              </w:rPr>
              <w:fldChar w:fldCharType="begin"/>
            </w:r>
            <w:r w:rsidR="000357C1">
              <w:rPr>
                <w:noProof/>
                <w:webHidden/>
              </w:rPr>
              <w:instrText xml:space="preserve"> PAGEREF _Toc146784542 \h </w:instrText>
            </w:r>
            <w:r w:rsidR="000357C1">
              <w:rPr>
                <w:noProof/>
                <w:webHidden/>
              </w:rPr>
            </w:r>
            <w:r w:rsidR="000357C1">
              <w:rPr>
                <w:noProof/>
                <w:webHidden/>
              </w:rPr>
              <w:fldChar w:fldCharType="separate"/>
            </w:r>
            <w:r w:rsidR="00943236">
              <w:rPr>
                <w:noProof/>
                <w:webHidden/>
              </w:rPr>
              <w:t>10</w:t>
            </w:r>
            <w:r w:rsidR="000357C1">
              <w:rPr>
                <w:noProof/>
                <w:webHidden/>
              </w:rPr>
              <w:fldChar w:fldCharType="end"/>
            </w:r>
          </w:hyperlink>
        </w:p>
        <w:p w14:paraId="0E8941ED" w14:textId="5A8896BF" w:rsidR="000357C1" w:rsidRDefault="00DC6F8E">
          <w:pPr>
            <w:pStyle w:val="INNH2"/>
            <w:rPr>
              <w:rFonts w:asciiTheme="minorHAnsi" w:eastAsiaTheme="minorEastAsia" w:hAnsiTheme="minorHAnsi"/>
              <w:noProof/>
              <w:lang w:eastAsia="nb-NO"/>
            </w:rPr>
          </w:pPr>
          <w:hyperlink w:anchor="_Toc146784543" w:history="1">
            <w:r w:rsidR="000357C1" w:rsidRPr="002C3549">
              <w:rPr>
                <w:rStyle w:val="Hyperkobling"/>
                <w:noProof/>
              </w:rPr>
              <w:t>2.3</w:t>
            </w:r>
            <w:r w:rsidR="000357C1">
              <w:rPr>
                <w:rFonts w:asciiTheme="minorHAnsi" w:eastAsiaTheme="minorEastAsia" w:hAnsiTheme="minorHAnsi"/>
                <w:noProof/>
                <w:lang w:eastAsia="nb-NO"/>
              </w:rPr>
              <w:tab/>
            </w:r>
            <w:r w:rsidR="000357C1" w:rsidRPr="002C3549">
              <w:rPr>
                <w:rStyle w:val="Hyperkobling"/>
                <w:noProof/>
              </w:rPr>
              <w:t>Kostnadsutvikling i helseregionene</w:t>
            </w:r>
            <w:r w:rsidR="000357C1">
              <w:rPr>
                <w:noProof/>
                <w:webHidden/>
              </w:rPr>
              <w:tab/>
            </w:r>
            <w:r w:rsidR="000357C1">
              <w:rPr>
                <w:noProof/>
                <w:webHidden/>
              </w:rPr>
              <w:fldChar w:fldCharType="begin"/>
            </w:r>
            <w:r w:rsidR="000357C1">
              <w:rPr>
                <w:noProof/>
                <w:webHidden/>
              </w:rPr>
              <w:instrText xml:space="preserve"> PAGEREF _Toc146784543 \h </w:instrText>
            </w:r>
            <w:r w:rsidR="000357C1">
              <w:rPr>
                <w:noProof/>
                <w:webHidden/>
              </w:rPr>
            </w:r>
            <w:r w:rsidR="000357C1">
              <w:rPr>
                <w:noProof/>
                <w:webHidden/>
              </w:rPr>
              <w:fldChar w:fldCharType="separate"/>
            </w:r>
            <w:r w:rsidR="00943236">
              <w:rPr>
                <w:noProof/>
                <w:webHidden/>
              </w:rPr>
              <w:t>14</w:t>
            </w:r>
            <w:r w:rsidR="000357C1">
              <w:rPr>
                <w:noProof/>
                <w:webHidden/>
              </w:rPr>
              <w:fldChar w:fldCharType="end"/>
            </w:r>
          </w:hyperlink>
        </w:p>
        <w:p w14:paraId="42B2CFA1" w14:textId="7B7C36A3" w:rsidR="000357C1" w:rsidRDefault="00DC6F8E">
          <w:pPr>
            <w:pStyle w:val="INNH1"/>
            <w:rPr>
              <w:rFonts w:asciiTheme="minorHAnsi" w:eastAsiaTheme="minorEastAsia" w:hAnsiTheme="minorHAnsi"/>
              <w:b w:val="0"/>
              <w:color w:val="auto"/>
              <w:lang w:eastAsia="nb-NO"/>
            </w:rPr>
          </w:pPr>
          <w:hyperlink w:anchor="_Toc146784544" w:history="1">
            <w:r w:rsidR="000357C1" w:rsidRPr="002C3549">
              <w:rPr>
                <w:rStyle w:val="Hyperkobling"/>
              </w:rPr>
              <w:t>3</w:t>
            </w:r>
            <w:r w:rsidR="000357C1">
              <w:rPr>
                <w:rFonts w:asciiTheme="minorHAnsi" w:eastAsiaTheme="minorEastAsia" w:hAnsiTheme="minorHAnsi"/>
                <w:b w:val="0"/>
                <w:color w:val="auto"/>
                <w:lang w:eastAsia="nb-NO"/>
              </w:rPr>
              <w:tab/>
            </w:r>
            <w:r w:rsidR="000357C1" w:rsidRPr="002C3549">
              <w:rPr>
                <w:rStyle w:val="Hyperkobling"/>
              </w:rPr>
              <w:t>Analyse og diskusjonspunkter</w:t>
            </w:r>
            <w:r w:rsidR="000357C1">
              <w:rPr>
                <w:webHidden/>
              </w:rPr>
              <w:tab/>
            </w:r>
            <w:r w:rsidR="000357C1">
              <w:rPr>
                <w:webHidden/>
              </w:rPr>
              <w:fldChar w:fldCharType="begin"/>
            </w:r>
            <w:r w:rsidR="000357C1">
              <w:rPr>
                <w:webHidden/>
              </w:rPr>
              <w:instrText xml:space="preserve"> PAGEREF _Toc146784544 \h </w:instrText>
            </w:r>
            <w:r w:rsidR="000357C1">
              <w:rPr>
                <w:webHidden/>
              </w:rPr>
            </w:r>
            <w:r w:rsidR="000357C1">
              <w:rPr>
                <w:webHidden/>
              </w:rPr>
              <w:fldChar w:fldCharType="separate"/>
            </w:r>
            <w:r w:rsidR="00943236">
              <w:rPr>
                <w:webHidden/>
              </w:rPr>
              <w:t>17</w:t>
            </w:r>
            <w:r w:rsidR="000357C1">
              <w:rPr>
                <w:webHidden/>
              </w:rPr>
              <w:fldChar w:fldCharType="end"/>
            </w:r>
          </w:hyperlink>
        </w:p>
        <w:p w14:paraId="60D4259C" w14:textId="7700285C" w:rsidR="000357C1" w:rsidRDefault="00DC6F8E">
          <w:pPr>
            <w:pStyle w:val="INNH2"/>
            <w:rPr>
              <w:rFonts w:asciiTheme="minorHAnsi" w:eastAsiaTheme="minorEastAsia" w:hAnsiTheme="minorHAnsi"/>
              <w:noProof/>
              <w:lang w:eastAsia="nb-NO"/>
            </w:rPr>
          </w:pPr>
          <w:hyperlink w:anchor="_Toc146784545" w:history="1">
            <w:r w:rsidR="000357C1" w:rsidRPr="002C3549">
              <w:rPr>
                <w:rStyle w:val="Hyperkobling"/>
                <w:noProof/>
              </w:rPr>
              <w:t>3.1</w:t>
            </w:r>
            <w:r w:rsidR="000357C1">
              <w:rPr>
                <w:rFonts w:asciiTheme="minorHAnsi" w:eastAsiaTheme="minorEastAsia" w:hAnsiTheme="minorHAnsi"/>
                <w:noProof/>
                <w:lang w:eastAsia="nb-NO"/>
              </w:rPr>
              <w:tab/>
            </w:r>
            <w:r w:rsidR="000357C1" w:rsidRPr="002C3549">
              <w:rPr>
                <w:rStyle w:val="Hyperkobling"/>
                <w:noProof/>
              </w:rPr>
              <w:t>Hva har sektoren søkt å oppnå med IKT-ressursforbruket?</w:t>
            </w:r>
            <w:r w:rsidR="000357C1">
              <w:rPr>
                <w:noProof/>
                <w:webHidden/>
              </w:rPr>
              <w:tab/>
            </w:r>
            <w:r w:rsidR="000357C1">
              <w:rPr>
                <w:noProof/>
                <w:webHidden/>
              </w:rPr>
              <w:fldChar w:fldCharType="begin"/>
            </w:r>
            <w:r w:rsidR="000357C1">
              <w:rPr>
                <w:noProof/>
                <w:webHidden/>
              </w:rPr>
              <w:instrText xml:space="preserve"> PAGEREF _Toc146784545 \h </w:instrText>
            </w:r>
            <w:r w:rsidR="000357C1">
              <w:rPr>
                <w:noProof/>
                <w:webHidden/>
              </w:rPr>
            </w:r>
            <w:r w:rsidR="000357C1">
              <w:rPr>
                <w:noProof/>
                <w:webHidden/>
              </w:rPr>
              <w:fldChar w:fldCharType="separate"/>
            </w:r>
            <w:r w:rsidR="00943236">
              <w:rPr>
                <w:noProof/>
                <w:webHidden/>
              </w:rPr>
              <w:t>17</w:t>
            </w:r>
            <w:r w:rsidR="000357C1">
              <w:rPr>
                <w:noProof/>
                <w:webHidden/>
              </w:rPr>
              <w:fldChar w:fldCharType="end"/>
            </w:r>
          </w:hyperlink>
        </w:p>
        <w:p w14:paraId="45B3AE82" w14:textId="4F01BF77" w:rsidR="000357C1" w:rsidRDefault="00DC6F8E">
          <w:pPr>
            <w:pStyle w:val="INNH2"/>
            <w:rPr>
              <w:rFonts w:asciiTheme="minorHAnsi" w:eastAsiaTheme="minorEastAsia" w:hAnsiTheme="minorHAnsi"/>
              <w:noProof/>
              <w:lang w:eastAsia="nb-NO"/>
            </w:rPr>
          </w:pPr>
          <w:hyperlink w:anchor="_Toc146784546" w:history="1">
            <w:r w:rsidR="000357C1" w:rsidRPr="002C3549">
              <w:rPr>
                <w:rStyle w:val="Hyperkobling"/>
                <w:noProof/>
              </w:rPr>
              <w:t>3.2</w:t>
            </w:r>
            <w:r w:rsidR="000357C1">
              <w:rPr>
                <w:rFonts w:asciiTheme="minorHAnsi" w:eastAsiaTheme="minorEastAsia" w:hAnsiTheme="minorHAnsi"/>
                <w:noProof/>
                <w:lang w:eastAsia="nb-NO"/>
              </w:rPr>
              <w:tab/>
            </w:r>
            <w:r w:rsidR="000357C1" w:rsidRPr="002C3549">
              <w:rPr>
                <w:rStyle w:val="Hyperkobling"/>
                <w:noProof/>
              </w:rPr>
              <w:t>Hva driver transformasjonsinnsatsen i sektoren?</w:t>
            </w:r>
            <w:r w:rsidR="000357C1">
              <w:rPr>
                <w:noProof/>
                <w:webHidden/>
              </w:rPr>
              <w:tab/>
            </w:r>
            <w:r w:rsidR="000357C1">
              <w:rPr>
                <w:noProof/>
                <w:webHidden/>
              </w:rPr>
              <w:fldChar w:fldCharType="begin"/>
            </w:r>
            <w:r w:rsidR="000357C1">
              <w:rPr>
                <w:noProof/>
                <w:webHidden/>
              </w:rPr>
              <w:instrText xml:space="preserve"> PAGEREF _Toc146784546 \h </w:instrText>
            </w:r>
            <w:r w:rsidR="000357C1">
              <w:rPr>
                <w:noProof/>
                <w:webHidden/>
              </w:rPr>
            </w:r>
            <w:r w:rsidR="000357C1">
              <w:rPr>
                <w:noProof/>
                <w:webHidden/>
              </w:rPr>
              <w:fldChar w:fldCharType="separate"/>
            </w:r>
            <w:r w:rsidR="00943236">
              <w:rPr>
                <w:noProof/>
                <w:webHidden/>
              </w:rPr>
              <w:t>21</w:t>
            </w:r>
            <w:r w:rsidR="000357C1">
              <w:rPr>
                <w:noProof/>
                <w:webHidden/>
              </w:rPr>
              <w:fldChar w:fldCharType="end"/>
            </w:r>
          </w:hyperlink>
        </w:p>
        <w:p w14:paraId="193A8D17" w14:textId="572F2719" w:rsidR="000357C1" w:rsidRDefault="00DC6F8E">
          <w:pPr>
            <w:pStyle w:val="INNH2"/>
            <w:rPr>
              <w:rFonts w:asciiTheme="minorHAnsi" w:eastAsiaTheme="minorEastAsia" w:hAnsiTheme="minorHAnsi"/>
              <w:noProof/>
              <w:lang w:eastAsia="nb-NO"/>
            </w:rPr>
          </w:pPr>
          <w:hyperlink w:anchor="_Toc146784547" w:history="1">
            <w:r w:rsidR="000357C1" w:rsidRPr="002C3549">
              <w:rPr>
                <w:rStyle w:val="Hyperkobling"/>
                <w:noProof/>
              </w:rPr>
              <w:t>3.3</w:t>
            </w:r>
            <w:r w:rsidR="000357C1">
              <w:rPr>
                <w:rFonts w:asciiTheme="minorHAnsi" w:eastAsiaTheme="minorEastAsia" w:hAnsiTheme="minorHAnsi"/>
                <w:noProof/>
                <w:lang w:eastAsia="nb-NO"/>
              </w:rPr>
              <w:tab/>
            </w:r>
            <w:r w:rsidR="000357C1" w:rsidRPr="002C3549">
              <w:rPr>
                <w:rStyle w:val="Hyperkobling"/>
                <w:noProof/>
              </w:rPr>
              <w:t>Hvordan har sektoren tatt i bruk skyteknologi?</w:t>
            </w:r>
            <w:r w:rsidR="000357C1">
              <w:rPr>
                <w:noProof/>
                <w:webHidden/>
              </w:rPr>
              <w:tab/>
            </w:r>
            <w:r w:rsidR="000357C1">
              <w:rPr>
                <w:noProof/>
                <w:webHidden/>
              </w:rPr>
              <w:fldChar w:fldCharType="begin"/>
            </w:r>
            <w:r w:rsidR="000357C1">
              <w:rPr>
                <w:noProof/>
                <w:webHidden/>
              </w:rPr>
              <w:instrText xml:space="preserve"> PAGEREF _Toc146784547 \h </w:instrText>
            </w:r>
            <w:r w:rsidR="000357C1">
              <w:rPr>
                <w:noProof/>
                <w:webHidden/>
              </w:rPr>
            </w:r>
            <w:r w:rsidR="000357C1">
              <w:rPr>
                <w:noProof/>
                <w:webHidden/>
              </w:rPr>
              <w:fldChar w:fldCharType="separate"/>
            </w:r>
            <w:r w:rsidR="00943236">
              <w:rPr>
                <w:noProof/>
                <w:webHidden/>
              </w:rPr>
              <w:t>24</w:t>
            </w:r>
            <w:r w:rsidR="000357C1">
              <w:rPr>
                <w:noProof/>
                <w:webHidden/>
              </w:rPr>
              <w:fldChar w:fldCharType="end"/>
            </w:r>
          </w:hyperlink>
        </w:p>
        <w:p w14:paraId="7643795A" w14:textId="440DE11B" w:rsidR="000357C1" w:rsidRDefault="00DC6F8E">
          <w:pPr>
            <w:pStyle w:val="INNH2"/>
            <w:rPr>
              <w:rFonts w:asciiTheme="minorHAnsi" w:eastAsiaTheme="minorEastAsia" w:hAnsiTheme="minorHAnsi"/>
              <w:noProof/>
              <w:lang w:eastAsia="nb-NO"/>
            </w:rPr>
          </w:pPr>
          <w:hyperlink w:anchor="_Toc146784548" w:history="1">
            <w:r w:rsidR="000357C1" w:rsidRPr="002C3549">
              <w:rPr>
                <w:rStyle w:val="Hyperkobling"/>
                <w:noProof/>
              </w:rPr>
              <w:t>3.4</w:t>
            </w:r>
            <w:r w:rsidR="000357C1">
              <w:rPr>
                <w:rFonts w:asciiTheme="minorHAnsi" w:eastAsiaTheme="minorEastAsia" w:hAnsiTheme="minorHAnsi"/>
                <w:noProof/>
                <w:lang w:eastAsia="nb-NO"/>
              </w:rPr>
              <w:tab/>
            </w:r>
            <w:r w:rsidR="000357C1" w:rsidRPr="002C3549">
              <w:rPr>
                <w:rStyle w:val="Hyperkobling"/>
                <w:noProof/>
              </w:rPr>
              <w:t>Hvordan løser sektoren sitt behov for kapasitet og kompetanse på applikasjonsområdet?</w:t>
            </w:r>
            <w:r w:rsidR="000357C1">
              <w:rPr>
                <w:noProof/>
                <w:webHidden/>
              </w:rPr>
              <w:tab/>
            </w:r>
            <w:r w:rsidR="000357C1">
              <w:rPr>
                <w:noProof/>
                <w:webHidden/>
              </w:rPr>
              <w:fldChar w:fldCharType="begin"/>
            </w:r>
            <w:r w:rsidR="000357C1">
              <w:rPr>
                <w:noProof/>
                <w:webHidden/>
              </w:rPr>
              <w:instrText xml:space="preserve"> PAGEREF _Toc146784548 \h </w:instrText>
            </w:r>
            <w:r w:rsidR="000357C1">
              <w:rPr>
                <w:noProof/>
                <w:webHidden/>
              </w:rPr>
            </w:r>
            <w:r w:rsidR="000357C1">
              <w:rPr>
                <w:noProof/>
                <w:webHidden/>
              </w:rPr>
              <w:fldChar w:fldCharType="separate"/>
            </w:r>
            <w:r w:rsidR="00943236">
              <w:rPr>
                <w:noProof/>
                <w:webHidden/>
              </w:rPr>
              <w:t>27</w:t>
            </w:r>
            <w:r w:rsidR="000357C1">
              <w:rPr>
                <w:noProof/>
                <w:webHidden/>
              </w:rPr>
              <w:fldChar w:fldCharType="end"/>
            </w:r>
          </w:hyperlink>
        </w:p>
        <w:p w14:paraId="15937546" w14:textId="7CE54785" w:rsidR="000357C1" w:rsidRDefault="00DC6F8E">
          <w:pPr>
            <w:pStyle w:val="INNH1"/>
            <w:rPr>
              <w:rFonts w:asciiTheme="minorHAnsi" w:eastAsiaTheme="minorEastAsia" w:hAnsiTheme="minorHAnsi"/>
              <w:b w:val="0"/>
              <w:color w:val="auto"/>
              <w:lang w:eastAsia="nb-NO"/>
            </w:rPr>
          </w:pPr>
          <w:hyperlink w:anchor="_Toc146784549" w:history="1">
            <w:r w:rsidR="000357C1" w:rsidRPr="002C3549">
              <w:rPr>
                <w:rStyle w:val="Hyperkobling"/>
              </w:rPr>
              <w:t>4</w:t>
            </w:r>
            <w:r w:rsidR="000357C1">
              <w:rPr>
                <w:rFonts w:asciiTheme="minorHAnsi" w:eastAsiaTheme="minorEastAsia" w:hAnsiTheme="minorHAnsi"/>
                <w:b w:val="0"/>
                <w:color w:val="auto"/>
                <w:lang w:eastAsia="nb-NO"/>
              </w:rPr>
              <w:tab/>
            </w:r>
            <w:r w:rsidR="000357C1" w:rsidRPr="002C3549">
              <w:rPr>
                <w:rStyle w:val="Hyperkobling"/>
              </w:rPr>
              <w:t>Vedlegg</w:t>
            </w:r>
            <w:r w:rsidR="000357C1">
              <w:rPr>
                <w:webHidden/>
              </w:rPr>
              <w:tab/>
            </w:r>
            <w:r w:rsidR="000357C1">
              <w:rPr>
                <w:webHidden/>
              </w:rPr>
              <w:fldChar w:fldCharType="begin"/>
            </w:r>
            <w:r w:rsidR="000357C1">
              <w:rPr>
                <w:webHidden/>
              </w:rPr>
              <w:instrText xml:space="preserve"> PAGEREF _Toc146784549 \h </w:instrText>
            </w:r>
            <w:r w:rsidR="000357C1">
              <w:rPr>
                <w:webHidden/>
              </w:rPr>
            </w:r>
            <w:r w:rsidR="000357C1">
              <w:rPr>
                <w:webHidden/>
              </w:rPr>
              <w:fldChar w:fldCharType="separate"/>
            </w:r>
            <w:r w:rsidR="00943236">
              <w:rPr>
                <w:webHidden/>
              </w:rPr>
              <w:t>31</w:t>
            </w:r>
            <w:r w:rsidR="000357C1">
              <w:rPr>
                <w:webHidden/>
              </w:rPr>
              <w:fldChar w:fldCharType="end"/>
            </w:r>
          </w:hyperlink>
        </w:p>
        <w:p w14:paraId="5506B068" w14:textId="271A5DA8" w:rsidR="000357C1" w:rsidRDefault="00DC6F8E">
          <w:pPr>
            <w:pStyle w:val="INNH2"/>
            <w:rPr>
              <w:rFonts w:asciiTheme="minorHAnsi" w:eastAsiaTheme="minorEastAsia" w:hAnsiTheme="minorHAnsi"/>
              <w:noProof/>
              <w:lang w:eastAsia="nb-NO"/>
            </w:rPr>
          </w:pPr>
          <w:hyperlink w:anchor="_Toc146784550" w:history="1">
            <w:r w:rsidR="000357C1" w:rsidRPr="002C3549">
              <w:rPr>
                <w:rStyle w:val="Hyperkobling"/>
                <w:noProof/>
              </w:rPr>
              <w:t>4.1</w:t>
            </w:r>
            <w:r w:rsidR="000357C1">
              <w:rPr>
                <w:rFonts w:asciiTheme="minorHAnsi" w:eastAsiaTheme="minorEastAsia" w:hAnsiTheme="minorHAnsi"/>
                <w:noProof/>
                <w:lang w:eastAsia="nb-NO"/>
              </w:rPr>
              <w:tab/>
            </w:r>
            <w:r w:rsidR="000357C1" w:rsidRPr="002C3549">
              <w:rPr>
                <w:rStyle w:val="Hyperkobling"/>
                <w:noProof/>
              </w:rPr>
              <w:t>Begreper og definisjoner</w:t>
            </w:r>
            <w:r w:rsidR="000357C1">
              <w:rPr>
                <w:noProof/>
                <w:webHidden/>
              </w:rPr>
              <w:tab/>
            </w:r>
            <w:r w:rsidR="000357C1">
              <w:rPr>
                <w:noProof/>
                <w:webHidden/>
              </w:rPr>
              <w:fldChar w:fldCharType="begin"/>
            </w:r>
            <w:r w:rsidR="000357C1">
              <w:rPr>
                <w:noProof/>
                <w:webHidden/>
              </w:rPr>
              <w:instrText xml:space="preserve"> PAGEREF _Toc146784550 \h </w:instrText>
            </w:r>
            <w:r w:rsidR="000357C1">
              <w:rPr>
                <w:noProof/>
                <w:webHidden/>
              </w:rPr>
            </w:r>
            <w:r w:rsidR="000357C1">
              <w:rPr>
                <w:noProof/>
                <w:webHidden/>
              </w:rPr>
              <w:fldChar w:fldCharType="separate"/>
            </w:r>
            <w:r w:rsidR="00943236">
              <w:rPr>
                <w:noProof/>
                <w:webHidden/>
              </w:rPr>
              <w:t>31</w:t>
            </w:r>
            <w:r w:rsidR="000357C1">
              <w:rPr>
                <w:noProof/>
                <w:webHidden/>
              </w:rPr>
              <w:fldChar w:fldCharType="end"/>
            </w:r>
          </w:hyperlink>
        </w:p>
        <w:p w14:paraId="7CAA6589" w14:textId="258FDC9E" w:rsidR="000357C1" w:rsidRDefault="00DC6F8E">
          <w:pPr>
            <w:pStyle w:val="INNH3"/>
            <w:rPr>
              <w:rFonts w:asciiTheme="minorHAnsi" w:eastAsiaTheme="minorEastAsia" w:hAnsiTheme="minorHAnsi"/>
              <w:lang w:eastAsia="nb-NO"/>
            </w:rPr>
          </w:pPr>
          <w:hyperlink w:anchor="_Toc146784551" w:history="1">
            <w:r w:rsidR="000357C1" w:rsidRPr="002C3549">
              <w:rPr>
                <w:rStyle w:val="Hyperkobling"/>
              </w:rPr>
              <w:t>4.1.1</w:t>
            </w:r>
            <w:r w:rsidR="000357C1">
              <w:rPr>
                <w:rFonts w:asciiTheme="minorHAnsi" w:eastAsiaTheme="minorEastAsia" w:hAnsiTheme="minorHAnsi"/>
                <w:lang w:eastAsia="nb-NO"/>
              </w:rPr>
              <w:tab/>
            </w:r>
            <w:r w:rsidR="000357C1" w:rsidRPr="002C3549">
              <w:rPr>
                <w:rStyle w:val="Hyperkobling"/>
              </w:rPr>
              <w:t>Definisjoner av IKT-nøkkeltall</w:t>
            </w:r>
            <w:r w:rsidR="000357C1">
              <w:rPr>
                <w:webHidden/>
              </w:rPr>
              <w:tab/>
            </w:r>
            <w:r w:rsidR="000357C1">
              <w:rPr>
                <w:webHidden/>
              </w:rPr>
              <w:fldChar w:fldCharType="begin"/>
            </w:r>
            <w:r w:rsidR="000357C1">
              <w:rPr>
                <w:webHidden/>
              </w:rPr>
              <w:instrText xml:space="preserve"> PAGEREF _Toc146784551 \h </w:instrText>
            </w:r>
            <w:r w:rsidR="000357C1">
              <w:rPr>
                <w:webHidden/>
              </w:rPr>
            </w:r>
            <w:r w:rsidR="000357C1">
              <w:rPr>
                <w:webHidden/>
              </w:rPr>
              <w:fldChar w:fldCharType="separate"/>
            </w:r>
            <w:r w:rsidR="00943236">
              <w:rPr>
                <w:webHidden/>
              </w:rPr>
              <w:t>31</w:t>
            </w:r>
            <w:r w:rsidR="000357C1">
              <w:rPr>
                <w:webHidden/>
              </w:rPr>
              <w:fldChar w:fldCharType="end"/>
            </w:r>
          </w:hyperlink>
        </w:p>
        <w:p w14:paraId="30063E38" w14:textId="3829DAD6" w:rsidR="000357C1" w:rsidRDefault="00DC6F8E">
          <w:pPr>
            <w:pStyle w:val="INNH3"/>
            <w:rPr>
              <w:rFonts w:asciiTheme="minorHAnsi" w:eastAsiaTheme="minorEastAsia" w:hAnsiTheme="minorHAnsi"/>
              <w:lang w:eastAsia="nb-NO"/>
            </w:rPr>
          </w:pPr>
          <w:hyperlink w:anchor="_Toc146784552" w:history="1">
            <w:r w:rsidR="000357C1" w:rsidRPr="002C3549">
              <w:rPr>
                <w:rStyle w:val="Hyperkobling"/>
              </w:rPr>
              <w:t>4.1.2</w:t>
            </w:r>
            <w:r w:rsidR="000357C1">
              <w:rPr>
                <w:rFonts w:asciiTheme="minorHAnsi" w:eastAsiaTheme="minorEastAsia" w:hAnsiTheme="minorHAnsi"/>
                <w:lang w:eastAsia="nb-NO"/>
              </w:rPr>
              <w:tab/>
            </w:r>
            <w:r w:rsidR="000357C1" w:rsidRPr="002C3549">
              <w:rPr>
                <w:rStyle w:val="Hyperkobling"/>
              </w:rPr>
              <w:t>Kategoriseringer og definisjoner for analyse av RGT-initiativer</w:t>
            </w:r>
            <w:r w:rsidR="000357C1">
              <w:rPr>
                <w:webHidden/>
              </w:rPr>
              <w:tab/>
            </w:r>
            <w:r w:rsidR="000357C1">
              <w:rPr>
                <w:webHidden/>
              </w:rPr>
              <w:fldChar w:fldCharType="begin"/>
            </w:r>
            <w:r w:rsidR="000357C1">
              <w:rPr>
                <w:webHidden/>
              </w:rPr>
              <w:instrText xml:space="preserve"> PAGEREF _Toc146784552 \h </w:instrText>
            </w:r>
            <w:r w:rsidR="000357C1">
              <w:rPr>
                <w:webHidden/>
              </w:rPr>
            </w:r>
            <w:r w:rsidR="000357C1">
              <w:rPr>
                <w:webHidden/>
              </w:rPr>
              <w:fldChar w:fldCharType="separate"/>
            </w:r>
            <w:r w:rsidR="00943236">
              <w:rPr>
                <w:webHidden/>
              </w:rPr>
              <w:t>35</w:t>
            </w:r>
            <w:r w:rsidR="000357C1">
              <w:rPr>
                <w:webHidden/>
              </w:rPr>
              <w:fldChar w:fldCharType="end"/>
            </w:r>
          </w:hyperlink>
        </w:p>
        <w:p w14:paraId="1D808A39" w14:textId="7A8DB126" w:rsidR="004459AC" w:rsidRPr="00545C02" w:rsidRDefault="004459AC" w:rsidP="004459AC">
          <w:pPr>
            <w:rPr>
              <w:bCs/>
              <w:highlight w:val="yellow"/>
            </w:rPr>
          </w:pPr>
          <w:r w:rsidRPr="00552C9A">
            <w:rPr>
              <w:b/>
              <w:bCs/>
              <w:noProof/>
              <w:color w:val="0069E8" w:themeColor="text1"/>
            </w:rPr>
            <w:fldChar w:fldCharType="end"/>
          </w:r>
        </w:p>
      </w:sdtContent>
    </w:sdt>
    <w:p w14:paraId="67438100" w14:textId="77777777" w:rsidR="004459AC" w:rsidRPr="00545C02" w:rsidRDefault="004459AC" w:rsidP="004459AC">
      <w:pPr>
        <w:tabs>
          <w:tab w:val="clear" w:pos="357"/>
        </w:tabs>
        <w:spacing w:after="0" w:line="240" w:lineRule="auto"/>
        <w:rPr>
          <w:bCs/>
          <w:highlight w:val="yellow"/>
        </w:rPr>
      </w:pPr>
      <w:r w:rsidRPr="00545C02">
        <w:rPr>
          <w:bCs/>
          <w:highlight w:val="yellow"/>
        </w:rPr>
        <w:br w:type="page"/>
      </w:r>
    </w:p>
    <w:p w14:paraId="080ADB3A" w14:textId="77777777" w:rsidR="00D34BBD" w:rsidRDefault="00D34BBD" w:rsidP="00D34BBD">
      <w:pPr>
        <w:pStyle w:val="Kapitteltittel"/>
      </w:pPr>
      <w:r>
        <w:lastRenderedPageBreak/>
        <w:t>Sammendrag</w:t>
      </w:r>
    </w:p>
    <w:p w14:paraId="2388EADB" w14:textId="2ABE52D3" w:rsidR="00D34BBD" w:rsidRDefault="00D34BBD" w:rsidP="00D34BBD">
      <w:r w:rsidRPr="0033429C">
        <w:rPr>
          <w:b/>
          <w:bCs/>
        </w:rPr>
        <w:t>IKT nøkkeltall rapporten for 2021</w:t>
      </w:r>
      <w:r>
        <w:t xml:space="preserve"> viser IKT ressursbruken i helse- og omsorgssektoren over tid, og gir samtidig en analyse av ressursbruken i 2021. Årets rapport søker også å analysere og gi innsikt i noen utvalgte områder, for å løfte disse til en diskusjon med aktørene. </w:t>
      </w:r>
    </w:p>
    <w:p w14:paraId="56A6A288" w14:textId="32154DFF" w:rsidR="00D34BBD" w:rsidRDefault="00D34BBD" w:rsidP="00D34BBD">
      <w:r>
        <w:rPr>
          <w:b/>
          <w:bCs/>
        </w:rPr>
        <w:t xml:space="preserve">De totale </w:t>
      </w:r>
      <w:r w:rsidRPr="0033429C">
        <w:rPr>
          <w:b/>
          <w:bCs/>
        </w:rPr>
        <w:t xml:space="preserve">IKT-kostnadene </w:t>
      </w:r>
      <w:r>
        <w:t>har hatt en gjennomsnittlig årlig økning på 11,4% siden 2018. De siste årene ser vi tegn på sentralisering av IKT-kostnadene i sektor. Infrastrukturkostnadene ligger under det internasjonale gjennomsnittet fra EMEA. For IKT-kostnaden målt opp mot kostnader for somatiske tjenester i hel</w:t>
      </w:r>
      <w:r w:rsidR="00402D33">
        <w:t>s</w:t>
      </w:r>
      <w:r>
        <w:t>eregionene, ser vi en gradvis økning av IKT-kostnadene. En av årsakene er investeringer i nye IKT-løsninger og modernisering av IKT-infrastruktur, for å tilrettelegge for morgendagens mer digitale helsetjenester.</w:t>
      </w:r>
    </w:p>
    <w:p w14:paraId="51B6267A" w14:textId="4F39C531" w:rsidR="00D34BBD" w:rsidRDefault="00D34BBD" w:rsidP="00D34BBD">
      <w:r w:rsidRPr="00D26961">
        <w:rPr>
          <w:b/>
          <w:bCs/>
        </w:rPr>
        <w:t xml:space="preserve">Analysedelen av rapporten </w:t>
      </w:r>
      <w:r w:rsidRPr="0033429C">
        <w:t>ser nærmere på hva</w:t>
      </w:r>
      <w:r>
        <w:t xml:space="preserve"> sektoren har søkt å oppnå med sin ressursinnsats i 2021, sektorens bruk av skyteknologi og sektorens behov for fleksibilitet og kompetanse på applikasjonsutvikling og applikasjonsforvaltning.</w:t>
      </w:r>
    </w:p>
    <w:p w14:paraId="50CAF502" w14:textId="77777777" w:rsidR="005D39A2" w:rsidRDefault="005D39A2" w:rsidP="005D39A2">
      <w:r>
        <w:t xml:space="preserve">Oppsummert ser vi at mange av prosjektene og initiativene gjennomført i 2021 søkte å oppnå gevinster knyttet til effektivisering og bedre bruk av data. Videre er det tydelig at sektoren i stor grad trekker i samme retning med sine initiativer og har et </w:t>
      </w:r>
      <w:proofErr w:type="gramStart"/>
      <w:r>
        <w:t>fokus</w:t>
      </w:r>
      <w:proofErr w:type="gramEnd"/>
      <w:r>
        <w:t xml:space="preserve"> på transformasjon av flere kjernefunksjoner i sitt IKT-landskap, særlig innen legemiddelløsninger, bruk av helsedata og EPJ. </w:t>
      </w:r>
    </w:p>
    <w:p w14:paraId="15262446" w14:textId="0FE57AB5" w:rsidR="005D39A2" w:rsidRDefault="005D39A2" w:rsidP="005D39A2">
      <w:r>
        <w:t>Sammenliknet med tall fra internasjonale aktører viser de innsamlede nøkkeltallene at sektoren bruker en svært liten andel av sine budsjetter på skyteknologi. Dette kan se ut til å være knyttet til usikkerhet i tolkning av SCHREMS-II, mangel på tydelige sektorspesifikke veiledere og små kompetansemiljøer innen sky.</w:t>
      </w:r>
      <w:r w:rsidR="002C551A">
        <w:t xml:space="preserve"> Våre funn og sammenlikninger gjelder satsninger på allmenne skytjenester. </w:t>
      </w:r>
      <w:r>
        <w:t xml:space="preserve"> </w:t>
      </w:r>
    </w:p>
    <w:p w14:paraId="7A1B6551" w14:textId="0FDBB7CA" w:rsidR="00D34BBD" w:rsidRDefault="005D39A2" w:rsidP="00A406A7">
      <w:r>
        <w:t>Nøkkeltall rapportert per IKT-funksjonsområde viser at sektoren har stor innsats knyttet til applikasjonsområdet sammenliknet med internasjonale nøkkeltall. Sektoren har valgt å innrette denne innsatsen gjennom intern produksjon der deler av kompetansebehovet dekkes gjennom å innleie av eksterne konsulenter. Denne innretningen gjør at sektoren har relativt lav bruk av tradisjonelle tjenestekjøp, med høye personellkostnader for interne og eksterne årsverk sammenliknet med internasjonale nøkkeltall.</w:t>
      </w:r>
    </w:p>
    <w:p w14:paraId="6D63CEB6" w14:textId="28FE1341" w:rsidR="005D39A2" w:rsidRDefault="005D39A2" w:rsidP="00A406A7"/>
    <w:p w14:paraId="2D3DC3B2" w14:textId="53D08A41" w:rsidR="005D39A2" w:rsidRDefault="005D39A2" w:rsidP="00C33C86">
      <w:pPr>
        <w:tabs>
          <w:tab w:val="clear" w:pos="357"/>
        </w:tabs>
        <w:spacing w:after="0" w:line="240" w:lineRule="auto"/>
      </w:pPr>
      <w:r>
        <w:br w:type="page"/>
      </w:r>
    </w:p>
    <w:p w14:paraId="44F6E028" w14:textId="6B8C22AE" w:rsidR="004459AC" w:rsidRDefault="004459AC" w:rsidP="004459AC">
      <w:pPr>
        <w:pStyle w:val="Overskrift1"/>
      </w:pPr>
      <w:bookmarkStart w:id="0" w:name="_Toc146784536"/>
      <w:r>
        <w:lastRenderedPageBreak/>
        <w:t>Innledning</w:t>
      </w:r>
      <w:bookmarkEnd w:id="0"/>
    </w:p>
    <w:p w14:paraId="4E023765" w14:textId="77777777" w:rsidR="004459AC" w:rsidRDefault="004459AC" w:rsidP="00FA3715">
      <w:pPr>
        <w:pStyle w:val="Overskrift2"/>
      </w:pPr>
      <w:bookmarkStart w:id="1" w:name="_Toc146784537"/>
      <w:r>
        <w:t>Formål og bakgrunn</w:t>
      </w:r>
      <w:bookmarkEnd w:id="1"/>
    </w:p>
    <w:p w14:paraId="6DB857E3" w14:textId="3B5F8535" w:rsidR="00EA1590" w:rsidRDefault="00EA1590" w:rsidP="00756CF2">
      <w:r>
        <w:t>Rapporten har sin bakgrunn i komparative analyser for helse- og omsorgssektoren</w:t>
      </w:r>
      <w:r w:rsidR="00955A9F">
        <w:t xml:space="preserve">, </w:t>
      </w:r>
      <w:r w:rsidR="00075E1C">
        <w:t xml:space="preserve">og har vært publisert årlig siden </w:t>
      </w:r>
      <w:r w:rsidR="00955A9F">
        <w:t xml:space="preserve">2017. Rapporten bygger på kostnadstall innrapportert </w:t>
      </w:r>
      <w:r w:rsidR="00CA2E4C">
        <w:t xml:space="preserve">fra aktørene i sektor gjennom en forhåndsdefinert </w:t>
      </w:r>
      <w:r w:rsidR="00701CD0">
        <w:t>mal som skal gjøre det mulig å følge utvikling i kostnadstall over tid og sammenlikne med internasjonale gjennomsnittstall.</w:t>
      </w:r>
    </w:p>
    <w:p w14:paraId="60B13198" w14:textId="77777777" w:rsidR="00DE0D8A" w:rsidRDefault="00DE0D8A" w:rsidP="00933A21">
      <w:pPr>
        <w:spacing w:after="0"/>
        <w:jc w:val="both"/>
      </w:pPr>
    </w:p>
    <w:p w14:paraId="7EE2D300" w14:textId="26F3592F" w:rsidR="00933A21" w:rsidRPr="00A94E1A" w:rsidRDefault="00933A21" w:rsidP="00933A21">
      <w:pPr>
        <w:spacing w:after="0"/>
        <w:jc w:val="both"/>
        <w:rPr>
          <w:lang w:eastAsia="nb-NO"/>
        </w:rPr>
      </w:pPr>
      <w:r>
        <w:t xml:space="preserve">For </w:t>
      </w:r>
      <w:r w:rsidR="006E60A3">
        <w:t>2021-rapporten er det gjort følgende endringer</w:t>
      </w:r>
      <w:r w:rsidR="006E60A3">
        <w:rPr>
          <w:lang w:eastAsia="nb-NO"/>
        </w:rPr>
        <w:t xml:space="preserve"> i struktur og innhold</w:t>
      </w:r>
      <w:r w:rsidRPr="00A94E1A">
        <w:rPr>
          <w:lang w:eastAsia="nb-NO"/>
        </w:rPr>
        <w:t>:</w:t>
      </w:r>
    </w:p>
    <w:p w14:paraId="5EC59D89" w14:textId="77777777" w:rsidR="00933A21" w:rsidRDefault="00933A21" w:rsidP="00A406A7">
      <w:pPr>
        <w:pStyle w:val="Listeavsnitt"/>
        <w:numPr>
          <w:ilvl w:val="0"/>
          <w:numId w:val="15"/>
        </w:numPr>
        <w:spacing w:after="0"/>
        <w:ind w:left="360"/>
        <w:rPr>
          <w:lang w:eastAsia="nb-NO"/>
        </w:rPr>
      </w:pPr>
      <w:r>
        <w:rPr>
          <w:lang w:eastAsia="nb-NO"/>
        </w:rPr>
        <w:t xml:space="preserve">Rapporten </w:t>
      </w:r>
      <w:r w:rsidRPr="2465022E">
        <w:rPr>
          <w:lang w:eastAsia="nb-NO"/>
        </w:rPr>
        <w:t>inneholder</w:t>
      </w:r>
      <w:r>
        <w:rPr>
          <w:lang w:eastAsia="nb-NO"/>
        </w:rPr>
        <w:t xml:space="preserve"> en overordnet analyse av sektoren som helhet, og sammenliknende grafer mellom aktører i sektoren er tonet ned. Data og grafer per region og virksomhet, med historisk utvikling, er inkludert i slutten av rapporten.</w:t>
      </w:r>
    </w:p>
    <w:p w14:paraId="5E397865" w14:textId="752ABAAE" w:rsidR="00933A21" w:rsidRDefault="00933A21" w:rsidP="00A406A7">
      <w:pPr>
        <w:pStyle w:val="Listeavsnitt"/>
        <w:numPr>
          <w:ilvl w:val="0"/>
          <w:numId w:val="15"/>
        </w:numPr>
        <w:spacing w:after="0"/>
        <w:ind w:left="360"/>
        <w:rPr>
          <w:lang w:eastAsia="nb-NO"/>
        </w:rPr>
      </w:pPr>
      <w:r w:rsidRPr="669AADC2">
        <w:rPr>
          <w:lang w:eastAsia="nb-NO"/>
        </w:rPr>
        <w:t xml:space="preserve">Rapporten </w:t>
      </w:r>
      <w:r>
        <w:rPr>
          <w:lang w:eastAsia="nb-NO"/>
        </w:rPr>
        <w:t>har som mål</w:t>
      </w:r>
      <w:r w:rsidRPr="669AADC2">
        <w:rPr>
          <w:lang w:eastAsia="nb-NO"/>
        </w:rPr>
        <w:t xml:space="preserve"> å </w:t>
      </w:r>
      <w:r>
        <w:rPr>
          <w:lang w:eastAsia="nb-NO"/>
        </w:rPr>
        <w:t>sammenstille innsikt om sektorens IKT-innsats for å gi grunnlag for god</w:t>
      </w:r>
      <w:r w:rsidR="00136174">
        <w:rPr>
          <w:lang w:eastAsia="nb-NO"/>
        </w:rPr>
        <w:t xml:space="preserve"> </w:t>
      </w:r>
      <w:r>
        <w:rPr>
          <w:lang w:eastAsia="nb-NO"/>
        </w:rPr>
        <w:t xml:space="preserve">dialog på strategisk </w:t>
      </w:r>
      <w:r w:rsidR="00455733">
        <w:rPr>
          <w:lang w:eastAsia="nb-NO"/>
        </w:rPr>
        <w:t>nivå</w:t>
      </w:r>
      <w:r>
        <w:rPr>
          <w:lang w:eastAsia="nb-NO"/>
        </w:rPr>
        <w:t>.</w:t>
      </w:r>
      <w:r w:rsidR="00877187">
        <w:rPr>
          <w:lang w:eastAsia="nb-NO"/>
        </w:rPr>
        <w:t xml:space="preserve"> Dette er lagt til som et eget kapittel.</w:t>
      </w:r>
    </w:p>
    <w:p w14:paraId="5DCC9C8C" w14:textId="389A16FD" w:rsidR="00933A21" w:rsidRPr="00694FA9" w:rsidRDefault="00933A21" w:rsidP="00A406A7">
      <w:pPr>
        <w:pStyle w:val="Listeavsnitt"/>
        <w:numPr>
          <w:ilvl w:val="0"/>
          <w:numId w:val="15"/>
        </w:numPr>
        <w:spacing w:after="0"/>
        <w:ind w:left="360"/>
        <w:rPr>
          <w:lang w:eastAsia="nb-NO"/>
        </w:rPr>
      </w:pPr>
      <w:r>
        <w:rPr>
          <w:lang w:eastAsia="nb-NO"/>
        </w:rPr>
        <w:t>Rapportens bruk av datamodeller og grafer er endret til å inkludere og fremheve flere perspektiver</w:t>
      </w:r>
      <w:r w:rsidR="00B16F4D">
        <w:rPr>
          <w:lang w:eastAsia="nb-NO"/>
        </w:rPr>
        <w:t>,</w:t>
      </w:r>
      <w:r>
        <w:rPr>
          <w:lang w:eastAsia="nb-NO"/>
        </w:rPr>
        <w:t xml:space="preserve"> som bidrar til å belyse diskusjonene løftet frem i analysen, herunder:</w:t>
      </w:r>
    </w:p>
    <w:p w14:paraId="0D9E893E" w14:textId="77777777" w:rsidR="00933A21" w:rsidRPr="00694FA9" w:rsidRDefault="00933A21" w:rsidP="00A406A7">
      <w:pPr>
        <w:pStyle w:val="Listeavsnitt"/>
        <w:numPr>
          <w:ilvl w:val="1"/>
          <w:numId w:val="15"/>
        </w:numPr>
        <w:spacing w:after="0"/>
        <w:ind w:left="1080"/>
        <w:jc w:val="both"/>
        <w:rPr>
          <w:lang w:eastAsia="nb-NO"/>
        </w:rPr>
      </w:pPr>
      <w:r>
        <w:rPr>
          <w:lang w:eastAsia="nb-NO"/>
        </w:rPr>
        <w:t>Datamodell og grafer for å fremheve drivere, tidskritikalitet, målgrupper og gevinstfokus for de 100 største IKT-initiativene i sektoren for 2021.</w:t>
      </w:r>
    </w:p>
    <w:p w14:paraId="1603D5F5" w14:textId="77777777" w:rsidR="00933A21" w:rsidRDefault="00933A21" w:rsidP="00A406A7">
      <w:pPr>
        <w:pStyle w:val="Listeavsnitt"/>
        <w:numPr>
          <w:ilvl w:val="1"/>
          <w:numId w:val="15"/>
        </w:numPr>
        <w:spacing w:after="0"/>
        <w:ind w:left="1080"/>
        <w:rPr>
          <w:lang w:eastAsia="nb-NO"/>
        </w:rPr>
      </w:pPr>
      <w:r>
        <w:rPr>
          <w:lang w:eastAsia="nb-NO"/>
        </w:rPr>
        <w:t xml:space="preserve">Datamodell og grafer </w:t>
      </w:r>
      <w:r w:rsidRPr="2D3506F6">
        <w:rPr>
          <w:lang w:eastAsia="nb-NO"/>
        </w:rPr>
        <w:t xml:space="preserve">for </w:t>
      </w:r>
      <w:r>
        <w:rPr>
          <w:lang w:eastAsia="nb-NO"/>
        </w:rPr>
        <w:t xml:space="preserve">IKT-kostnader der IKT-arbeidet utføres i sektoren, herunder </w:t>
      </w:r>
      <w:r w:rsidRPr="7FF63B82">
        <w:rPr>
          <w:lang w:eastAsia="nb-NO"/>
        </w:rPr>
        <w:t xml:space="preserve">for </w:t>
      </w:r>
      <w:r>
        <w:rPr>
          <w:lang w:eastAsia="nb-NO"/>
        </w:rPr>
        <w:t xml:space="preserve">å skille på IKT-kostnader knyttet til IKT-arbeid som utføres nasjonalt, regionalt og lokalt. </w:t>
      </w:r>
    </w:p>
    <w:p w14:paraId="1FC35715" w14:textId="77777777" w:rsidR="00B16F4D" w:rsidRDefault="00B16F4D" w:rsidP="005716CA">
      <w:pPr>
        <w:rPr>
          <w:lang w:eastAsia="nb-NO"/>
        </w:rPr>
      </w:pPr>
    </w:p>
    <w:p w14:paraId="02C63C02" w14:textId="36DDC86E" w:rsidR="00555629" w:rsidRDefault="00933A21">
      <w:r>
        <w:rPr>
          <w:lang w:eastAsia="nb-NO"/>
        </w:rPr>
        <w:t xml:space="preserve">Definisjoner av datafelter og begreper som benyttes i de nye datamodellene og grafene i rapporten er tilgjengelige i vedlegg </w:t>
      </w:r>
      <w:r w:rsidR="00FA3715">
        <w:rPr>
          <w:lang w:eastAsia="nb-NO"/>
        </w:rPr>
        <w:t>4</w:t>
      </w:r>
      <w:r>
        <w:rPr>
          <w:lang w:eastAsia="nb-NO"/>
        </w:rPr>
        <w:t>.</w:t>
      </w:r>
      <w:r w:rsidR="004A3619">
        <w:rPr>
          <w:lang w:eastAsia="nb-NO"/>
        </w:rPr>
        <w:t>1</w:t>
      </w:r>
      <w:r>
        <w:rPr>
          <w:lang w:eastAsia="nb-NO"/>
        </w:rPr>
        <w:t>.</w:t>
      </w:r>
      <w:r w:rsidR="004A3619" w:rsidRPr="004A3619">
        <w:rPr>
          <w:lang w:eastAsia="nb-NO"/>
        </w:rPr>
        <w:t xml:space="preserve"> </w:t>
      </w:r>
      <w:r w:rsidR="004A3619">
        <w:rPr>
          <w:lang w:eastAsia="nb-NO"/>
        </w:rPr>
        <w:t xml:space="preserve">Nøkkeltall brutt ned for </w:t>
      </w:r>
      <w:r w:rsidR="00D61AEF">
        <w:rPr>
          <w:lang w:eastAsia="nb-NO"/>
        </w:rPr>
        <w:t>hver enkeltaktør</w:t>
      </w:r>
      <w:r w:rsidR="004A3619">
        <w:rPr>
          <w:lang w:eastAsia="nb-NO"/>
        </w:rPr>
        <w:t xml:space="preserve"> er tilgjengelig i </w:t>
      </w:r>
      <w:hyperlink r:id="rId13" w:history="1">
        <w:r w:rsidR="0095369A">
          <w:rPr>
            <w:rStyle w:val="Hyperkobling"/>
            <w:rFonts w:ascii="Arial" w:hAnsi="Arial"/>
            <w:lang w:eastAsia="nb-NO"/>
          </w:rPr>
          <w:t>eksternt dokument som inneholder nøkkeltall per aktør (PDF)</w:t>
        </w:r>
      </w:hyperlink>
      <w:r w:rsidR="0095369A">
        <w:rPr>
          <w:lang w:eastAsia="nb-NO"/>
        </w:rPr>
        <w:t xml:space="preserve"> </w:t>
      </w:r>
      <w:r>
        <w:br/>
      </w:r>
      <w:r w:rsidR="00756CF2">
        <w:t xml:space="preserve"> </w:t>
      </w:r>
    </w:p>
    <w:p w14:paraId="0CA33942" w14:textId="77777777" w:rsidR="00555629" w:rsidRDefault="00555629">
      <w:pPr>
        <w:tabs>
          <w:tab w:val="clear" w:pos="357"/>
        </w:tabs>
        <w:spacing w:after="0" w:line="240" w:lineRule="auto"/>
      </w:pPr>
      <w:r>
        <w:br w:type="page"/>
      </w:r>
    </w:p>
    <w:p w14:paraId="64D0F490" w14:textId="77777777" w:rsidR="00756CF2" w:rsidRPr="00756CF2" w:rsidRDefault="00756CF2"/>
    <w:p w14:paraId="461407DD" w14:textId="068CB312" w:rsidR="004459AC" w:rsidRDefault="00555886" w:rsidP="00FA3715">
      <w:pPr>
        <w:pStyle w:val="Overskrift2"/>
      </w:pPr>
      <w:bookmarkStart w:id="2" w:name="_Toc146784538"/>
      <w:r>
        <w:t>Omfang</w:t>
      </w:r>
      <w:r w:rsidR="00C619DA">
        <w:t xml:space="preserve"> </w:t>
      </w:r>
      <w:r w:rsidR="004459AC">
        <w:t>og avgrensninger</w:t>
      </w:r>
      <w:bookmarkEnd w:id="2"/>
    </w:p>
    <w:p w14:paraId="7CF30646" w14:textId="04714B28" w:rsidR="00A56B47" w:rsidRDefault="00EF5272" w:rsidP="00EC5B08">
      <w:pPr>
        <w:rPr>
          <w:lang w:eastAsia="nb-NO"/>
        </w:rPr>
      </w:pPr>
      <w:r>
        <w:t>IKT-n</w:t>
      </w:r>
      <w:r w:rsidR="00963830">
        <w:t xml:space="preserve">økkeltallene som </w:t>
      </w:r>
      <w:r w:rsidR="00E775B3">
        <w:t xml:space="preserve">har blitt </w:t>
      </w:r>
      <w:r w:rsidR="00963830">
        <w:t>samle</w:t>
      </w:r>
      <w:r w:rsidR="00E775B3">
        <w:t>t</w:t>
      </w:r>
      <w:r w:rsidR="00963830">
        <w:t xml:space="preserve"> inn og </w:t>
      </w:r>
      <w:r w:rsidR="00E775B3">
        <w:t xml:space="preserve">analysert i denne rapporten </w:t>
      </w:r>
      <w:r w:rsidR="00B84144">
        <w:t xml:space="preserve">er </w:t>
      </w:r>
      <w:r w:rsidR="00B84144" w:rsidRPr="00A94E1A">
        <w:rPr>
          <w:lang w:eastAsia="nb-NO"/>
        </w:rPr>
        <w:t>basert på Gartners internasjonal</w:t>
      </w:r>
      <w:r w:rsidR="00B84144">
        <w:rPr>
          <w:lang w:eastAsia="nb-NO"/>
        </w:rPr>
        <w:t>e</w:t>
      </w:r>
      <w:r w:rsidR="00B84144" w:rsidRPr="00A94E1A">
        <w:rPr>
          <w:lang w:eastAsia="nb-NO"/>
        </w:rPr>
        <w:t xml:space="preserve"> definisjoner og metodikk</w:t>
      </w:r>
      <w:r w:rsidR="00764898">
        <w:rPr>
          <w:lang w:eastAsia="nb-NO"/>
        </w:rPr>
        <w:t>,</w:t>
      </w:r>
      <w:r w:rsidR="00831717">
        <w:rPr>
          <w:lang w:eastAsia="nb-NO"/>
        </w:rPr>
        <w:t xml:space="preserve"> </w:t>
      </w:r>
      <w:r w:rsidR="00FA732C">
        <w:rPr>
          <w:lang w:eastAsia="nb-NO"/>
        </w:rPr>
        <w:t xml:space="preserve">IT Key </w:t>
      </w:r>
      <w:proofErr w:type="spellStart"/>
      <w:r w:rsidR="00FA732C">
        <w:rPr>
          <w:lang w:eastAsia="nb-NO"/>
        </w:rPr>
        <w:t>Metrics</w:t>
      </w:r>
      <w:proofErr w:type="spellEnd"/>
      <w:r w:rsidR="00FA732C">
        <w:rPr>
          <w:lang w:eastAsia="nb-NO"/>
        </w:rPr>
        <w:t xml:space="preserve"> Data (ITKMD)</w:t>
      </w:r>
      <w:r w:rsidR="00FA732C">
        <w:rPr>
          <w:rStyle w:val="Fotnotereferanse"/>
          <w:lang w:eastAsia="nb-NO"/>
        </w:rPr>
        <w:footnoteReference w:id="5"/>
      </w:r>
      <w:r w:rsidR="00B84144" w:rsidRPr="00A94E1A">
        <w:rPr>
          <w:lang w:eastAsia="nb-NO"/>
        </w:rPr>
        <w:t>.</w:t>
      </w:r>
      <w:r w:rsidR="00F427DF">
        <w:rPr>
          <w:lang w:eastAsia="nb-NO"/>
        </w:rPr>
        <w:t xml:space="preserve"> </w:t>
      </w:r>
      <w:r w:rsidR="00F427DF">
        <w:t xml:space="preserve">IKT-nøkkeltall omfatter </w:t>
      </w:r>
      <w:r w:rsidR="001B1442">
        <w:t xml:space="preserve">med dette </w:t>
      </w:r>
      <w:r w:rsidR="00F427DF">
        <w:t>alle kostnader knyttet til en virksomhets IKT-funksjon, uavhengig av om kostnadene er finansiert gjennom en IT-avdeling, andre avdelinger</w:t>
      </w:r>
      <w:r w:rsidR="001B1442">
        <w:t xml:space="preserve"> i virksomheten</w:t>
      </w:r>
      <w:r w:rsidR="00F427DF">
        <w:t xml:space="preserve"> eller er definert som skygge-IT.</w:t>
      </w:r>
    </w:p>
    <w:p w14:paraId="26847010" w14:textId="77777777" w:rsidR="00D75E43" w:rsidRDefault="00F427DF" w:rsidP="00BB30AE">
      <w:pPr>
        <w:keepNext/>
        <w:jc w:val="center"/>
      </w:pPr>
      <w:r>
        <w:rPr>
          <w:noProof/>
        </w:rPr>
        <w:drawing>
          <wp:inline distT="0" distB="0" distL="0" distR="0" wp14:anchorId="21B1F405" wp14:editId="22E92297">
            <wp:extent cx="5714241" cy="2294626"/>
            <wp:effectExtent l="0" t="0" r="1270" b="0"/>
            <wp:docPr id="224" name="Bilde 224" descr="Rammeverk for innrapportering av IKT tall, fordelt på Total IKT bruk som deles mellom investeringer og drift. Tallene hentes for enkeltstående enhet i s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e 224" descr="Rammeverk for innrapportering av IKT tall, fordelt på Total IKT bruk som deles mellom investeringer og drift. Tallene hentes for enkeltstående enhet i sektoren."/>
                    <pic:cNvPicPr/>
                  </pic:nvPicPr>
                  <pic:blipFill>
                    <a:blip r:embed="rId14">
                      <a:extLst>
                        <a:ext uri="{28A0092B-C50C-407E-A947-70E740481C1C}">
                          <a14:useLocalDpi xmlns:a14="http://schemas.microsoft.com/office/drawing/2010/main" val="0"/>
                        </a:ext>
                      </a:extLst>
                    </a:blip>
                    <a:stretch>
                      <a:fillRect/>
                    </a:stretch>
                  </pic:blipFill>
                  <pic:spPr>
                    <a:xfrm>
                      <a:off x="0" y="0"/>
                      <a:ext cx="5754508" cy="2310796"/>
                    </a:xfrm>
                    <a:prstGeom prst="rect">
                      <a:avLst/>
                    </a:prstGeom>
                  </pic:spPr>
                </pic:pic>
              </a:graphicData>
            </a:graphic>
          </wp:inline>
        </w:drawing>
      </w:r>
    </w:p>
    <w:p w14:paraId="6505C78B" w14:textId="61663069" w:rsidR="00F427DF" w:rsidRDefault="00D75E43"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w:t>
      </w:r>
      <w:r w:rsidR="00DC6F8E">
        <w:rPr>
          <w:noProof/>
        </w:rPr>
        <w:fldChar w:fldCharType="end"/>
      </w:r>
      <w:r>
        <w:t>: Rammeverk for innrapportering av nøk</w:t>
      </w:r>
      <w:r w:rsidR="00F914B7">
        <w:t>k</w:t>
      </w:r>
      <w:r>
        <w:t>eltall basert på ITKMD</w:t>
      </w:r>
    </w:p>
    <w:p w14:paraId="335DF35E" w14:textId="5D492829" w:rsidR="0010127F" w:rsidRDefault="00171C52" w:rsidP="00EC5B08">
      <w:r>
        <w:t xml:space="preserve">For å støtte </w:t>
      </w:r>
      <w:r w:rsidR="00FA6B17">
        <w:t>opp om denne metodikken og ivareta internasjonal sammenliknbarhet</w:t>
      </w:r>
      <w:r w:rsidR="00030857">
        <w:t>,</w:t>
      </w:r>
      <w:r w:rsidR="00FA6B17">
        <w:t xml:space="preserve"> inkluderer ikke </w:t>
      </w:r>
      <w:r w:rsidR="0010127F">
        <w:t xml:space="preserve">IKT-nøkkeltallene som presenteres i denne rapporten </w:t>
      </w:r>
      <w:r w:rsidR="003D6A9A">
        <w:t xml:space="preserve">avskrivninger </w:t>
      </w:r>
      <w:r w:rsidR="00DF245E">
        <w:t>og nedskrivninger av IKT</w:t>
      </w:r>
      <w:r w:rsidR="00FA6B17">
        <w:t xml:space="preserve">. Dette gjør at </w:t>
      </w:r>
      <w:r w:rsidR="00516E90">
        <w:t>nøkkeltallene ikke er direkte gjenkjennbare på virksomhetenes årsregnskap og annen finansiell rapportering.</w:t>
      </w:r>
    </w:p>
    <w:p w14:paraId="1E6379EC" w14:textId="30C57C1F" w:rsidR="00542355" w:rsidRDefault="001970A2" w:rsidP="00542355">
      <w:r>
        <w:t xml:space="preserve">ITKMD-rammeverket </w:t>
      </w:r>
      <w:r w:rsidR="00214B44">
        <w:t>omfatter en</w:t>
      </w:r>
      <w:r w:rsidR="00542355">
        <w:t xml:space="preserve"> klassifisering av prosjektkostnader inn i driftsrelaterte kostnader for å holde sektoren i gang («Run»), </w:t>
      </w:r>
      <w:proofErr w:type="spellStart"/>
      <w:r w:rsidR="00542355">
        <w:t>vekstrelaterte</w:t>
      </w:r>
      <w:proofErr w:type="spellEnd"/>
      <w:r w:rsidR="00542355">
        <w:t xml:space="preserve"> kostnader for å tilrettelegge for vekst i sektoren («</w:t>
      </w:r>
      <w:proofErr w:type="spellStart"/>
      <w:r w:rsidR="00542355">
        <w:t>Grow</w:t>
      </w:r>
      <w:proofErr w:type="spellEnd"/>
      <w:r w:rsidR="00542355">
        <w:t>») og transformasjonsrelaterte kostander for å transformere hvordan sektoren arbeider i dag («Transform»). Videre er kostnadene innrapporter etter IKT-funksjonsområde</w:t>
      </w:r>
      <w:r w:rsidR="00F2306A">
        <w:t xml:space="preserve"> og IKT-ressurskategori</w:t>
      </w:r>
      <w:r w:rsidR="00542355">
        <w:t>. Disse inndelingene gjør det mulig å sammenlik</w:t>
      </w:r>
      <w:r>
        <w:t>ne</w:t>
      </w:r>
      <w:r w:rsidR="00542355">
        <w:t xml:space="preserve"> fordelingen av IKT-kostnadene i sektoren med internasjonale gjennomsnitt</w:t>
      </w:r>
      <w:r>
        <w:t>stall</w:t>
      </w:r>
      <w:r w:rsidR="00542355">
        <w:t xml:space="preserve"> for helsetjenestetilbydere </w:t>
      </w:r>
      <w:r>
        <w:t xml:space="preserve">som inngår i Gartners kunnskapsgrunnlag </w:t>
      </w:r>
      <w:r w:rsidR="00D341AD">
        <w:t>for</w:t>
      </w:r>
      <w:r>
        <w:t xml:space="preserve"> ITKMD.</w:t>
      </w:r>
    </w:p>
    <w:p w14:paraId="76FC18EF" w14:textId="77777777" w:rsidR="001970A2" w:rsidRDefault="001970A2" w:rsidP="001970A2">
      <w:r>
        <w:t>Rapporten omfatter IKT-nøkkeltall innhentet fra følgende virksomheter:</w:t>
      </w:r>
    </w:p>
    <w:p w14:paraId="40558AAD" w14:textId="77777777" w:rsidR="001970A2" w:rsidRDefault="001970A2" w:rsidP="003C1BA8">
      <w:pPr>
        <w:pStyle w:val="Listeavsnitt"/>
        <w:numPr>
          <w:ilvl w:val="0"/>
          <w:numId w:val="16"/>
        </w:numPr>
      </w:pPr>
      <w:r>
        <w:t>Nasjonale aktører: Direktoratet for e-helse (E-helse), Norsk helsenett SF (NHN), Helsedirektoratet, Folkehelseinstituttet (FHI), Helsetjenestens driftsorganisasjon for nødnett (HDO) og Pasientreiser.</w:t>
      </w:r>
    </w:p>
    <w:p w14:paraId="2CB5E072" w14:textId="77777777" w:rsidR="001970A2" w:rsidRDefault="001970A2" w:rsidP="003C1BA8">
      <w:pPr>
        <w:pStyle w:val="Listeavsnitt"/>
        <w:numPr>
          <w:ilvl w:val="0"/>
          <w:numId w:val="16"/>
        </w:numPr>
      </w:pPr>
      <w:r>
        <w:t>Regionale aktører: Regionale helseforetak med tilhørende helseforetak og private ideelle sykehus: Helse Sør-Øst (HSØ), Helse Vest (HV), Helse Midt-Norge (HMN) og Helse Nord (HN).</w:t>
      </w:r>
    </w:p>
    <w:p w14:paraId="0CC1CC07" w14:textId="77777777" w:rsidR="00286890" w:rsidRDefault="00286890" w:rsidP="00286890">
      <w:pPr>
        <w:keepNext/>
      </w:pPr>
      <w:r>
        <w:rPr>
          <w:noProof/>
        </w:rPr>
        <w:lastRenderedPageBreak/>
        <w:drawing>
          <wp:inline distT="0" distB="0" distL="0" distR="0" wp14:anchorId="477C4487" wp14:editId="49FBBEEC">
            <wp:extent cx="5759449" cy="3676014"/>
            <wp:effectExtent l="0" t="0" r="0" b="635"/>
            <wp:docPr id="3" name="Bilde 227" descr="Norgeskart som viser fordelingene av enhetene man har hentet inn data for i denne rapporten. De fire regionale helseforetakene, og de sentrale aktørene i helsesekto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27" descr="Norgeskart som viser fordelingene av enhetene man har hentet inn data for i denne rapporten. De fire regionale helseforetakene, og de sentrale aktørene i helsesektoren. "/>
                    <pic:cNvPicPr/>
                  </pic:nvPicPr>
                  <pic:blipFill>
                    <a:blip r:embed="rId15">
                      <a:extLst>
                        <a:ext uri="{28A0092B-C50C-407E-A947-70E740481C1C}">
                          <a14:useLocalDpi xmlns:a14="http://schemas.microsoft.com/office/drawing/2010/main" val="0"/>
                        </a:ext>
                      </a:extLst>
                    </a:blip>
                    <a:stretch>
                      <a:fillRect/>
                    </a:stretch>
                  </pic:blipFill>
                  <pic:spPr>
                    <a:xfrm>
                      <a:off x="0" y="0"/>
                      <a:ext cx="5759449" cy="3676014"/>
                    </a:xfrm>
                    <a:prstGeom prst="rect">
                      <a:avLst/>
                    </a:prstGeom>
                  </pic:spPr>
                </pic:pic>
              </a:graphicData>
            </a:graphic>
          </wp:inline>
        </w:drawing>
      </w:r>
    </w:p>
    <w:p w14:paraId="01BCEA7C" w14:textId="4DB42973" w:rsidR="00286890" w:rsidRDefault="00286890"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2</w:t>
      </w:r>
      <w:r w:rsidR="00DC6F8E">
        <w:rPr>
          <w:noProof/>
        </w:rPr>
        <w:fldChar w:fldCharType="end"/>
      </w:r>
      <w:r>
        <w:t xml:space="preserve">: Aktører i </w:t>
      </w:r>
      <w:r w:rsidR="00262841">
        <w:t>h</w:t>
      </w:r>
      <w:r>
        <w:t>else- og omsorgssektoren omfattet av denne rapporten</w:t>
      </w:r>
    </w:p>
    <w:p w14:paraId="17654498" w14:textId="1155CFC4" w:rsidR="00E418A3" w:rsidRDefault="00954FBB" w:rsidP="00A406A7">
      <w:pPr>
        <w:spacing w:before="240"/>
      </w:pPr>
      <w:r>
        <w:t xml:space="preserve">Aktøromfanget skissert over er uendret fra tidligere år. </w:t>
      </w:r>
      <w:r w:rsidR="005830AE">
        <w:t>IKT-nøkkeltall fra kommunale helse</w:t>
      </w:r>
      <w:r w:rsidR="008573B4">
        <w:t>tjenestetilbydere</w:t>
      </w:r>
      <w:r w:rsidR="005830AE">
        <w:t xml:space="preserve"> er ikke inkludert i rapporten</w:t>
      </w:r>
      <w:r w:rsidR="00DE6249">
        <w:t xml:space="preserve">, men det er en ambisjon at rapporten </w:t>
      </w:r>
      <w:r w:rsidR="00906B56">
        <w:t xml:space="preserve">på sikt </w:t>
      </w:r>
      <w:r w:rsidR="00DE6249">
        <w:t xml:space="preserve">også </w:t>
      </w:r>
      <w:r w:rsidR="00D324AD">
        <w:t>skal</w:t>
      </w:r>
      <w:r w:rsidR="00DE6249">
        <w:t xml:space="preserve"> inkludere nøkkeltall fra kommun</w:t>
      </w:r>
      <w:r w:rsidR="008573B4">
        <w:t>ene</w:t>
      </w:r>
      <w:r w:rsidR="00DE6249">
        <w:t>.</w:t>
      </w:r>
      <w:r w:rsidR="00314685">
        <w:t xml:space="preserve"> Merk at nøkkeltallene for flere av de nasjonale </w:t>
      </w:r>
      <w:r w:rsidR="009D39E5">
        <w:t>aktørene</w:t>
      </w:r>
      <w:r w:rsidR="001747C2">
        <w:t xml:space="preserve"> inkluderer tjenester </w:t>
      </w:r>
      <w:r w:rsidR="009D39E5">
        <w:t>rettet mot kom</w:t>
      </w:r>
      <w:r w:rsidR="00DE034D">
        <w:t>mun</w:t>
      </w:r>
      <w:r w:rsidR="00E2564E">
        <w:t>ene.</w:t>
      </w:r>
      <w:r w:rsidR="00DE034D">
        <w:t xml:space="preserve"> </w:t>
      </w:r>
    </w:p>
    <w:p w14:paraId="0861FE1C" w14:textId="47D16101" w:rsidR="00EC5B08" w:rsidRDefault="005875B7" w:rsidP="00FA3715">
      <w:pPr>
        <w:pStyle w:val="Overskrift2"/>
      </w:pPr>
      <w:bookmarkStart w:id="3" w:name="_Toc146784539"/>
      <w:r>
        <w:t xml:space="preserve">Kvalitet og </w:t>
      </w:r>
      <w:r w:rsidR="00D44B21">
        <w:t>usikkerhet i tallene</w:t>
      </w:r>
      <w:bookmarkEnd w:id="3"/>
    </w:p>
    <w:p w14:paraId="64AF3FE6" w14:textId="58D13381" w:rsidR="002307F0" w:rsidRDefault="00EB5EEC" w:rsidP="00EB5EEC">
      <w:pPr>
        <w:pStyle w:val="Default"/>
        <w:rPr>
          <w:sz w:val="22"/>
          <w:szCs w:val="22"/>
        </w:rPr>
      </w:pPr>
      <w:r>
        <w:rPr>
          <w:sz w:val="22"/>
          <w:szCs w:val="22"/>
        </w:rPr>
        <w:t>Det er flere faktorer knyttet til innsamlingen av IKT-nøkkeltall som påvirker dataenes kvalitet</w:t>
      </w:r>
      <w:r w:rsidR="00B54E36">
        <w:rPr>
          <w:sz w:val="22"/>
          <w:szCs w:val="22"/>
        </w:rPr>
        <w:t>,</w:t>
      </w:r>
      <w:r>
        <w:rPr>
          <w:sz w:val="22"/>
          <w:szCs w:val="22"/>
        </w:rPr>
        <w:t xml:space="preserve"> og som kan skape usikkerhet i tallene. </w:t>
      </w:r>
      <w:r w:rsidR="002307F0">
        <w:rPr>
          <w:sz w:val="22"/>
          <w:szCs w:val="22"/>
        </w:rPr>
        <w:t xml:space="preserve">Rapporten </w:t>
      </w:r>
      <w:r w:rsidR="00F13705">
        <w:rPr>
          <w:sz w:val="22"/>
          <w:szCs w:val="22"/>
        </w:rPr>
        <w:t>har sin bakgrunn i kostnadsrapporteringer fra aktørene i sektoren</w:t>
      </w:r>
      <w:r w:rsidR="000C0DB7">
        <w:rPr>
          <w:sz w:val="22"/>
          <w:szCs w:val="22"/>
        </w:rPr>
        <w:t>. K</w:t>
      </w:r>
      <w:r w:rsidR="00F13705">
        <w:rPr>
          <w:sz w:val="22"/>
          <w:szCs w:val="22"/>
        </w:rPr>
        <w:t>ontantprinsippet</w:t>
      </w:r>
      <w:r w:rsidR="001F0282">
        <w:rPr>
          <w:sz w:val="22"/>
          <w:szCs w:val="22"/>
        </w:rPr>
        <w:t xml:space="preserve"> har vært benyttet for å få et underlag som lar seg sammenlikne med internasjonale tall. En </w:t>
      </w:r>
      <w:r w:rsidR="000C0DB7">
        <w:rPr>
          <w:sz w:val="22"/>
          <w:szCs w:val="22"/>
        </w:rPr>
        <w:t>kan</w:t>
      </w:r>
      <w:r w:rsidR="001F0282">
        <w:rPr>
          <w:sz w:val="22"/>
          <w:szCs w:val="22"/>
        </w:rPr>
        <w:t xml:space="preserve"> derfor ikke nødvendigvis </w:t>
      </w:r>
      <w:r w:rsidR="005A7592">
        <w:rPr>
          <w:sz w:val="22"/>
          <w:szCs w:val="22"/>
        </w:rPr>
        <w:t xml:space="preserve">sammenstille tallene i denne rapporten mot årsregnskap og andre </w:t>
      </w:r>
      <w:r w:rsidR="00034F54">
        <w:rPr>
          <w:sz w:val="22"/>
          <w:szCs w:val="22"/>
        </w:rPr>
        <w:t xml:space="preserve">offentlig tilgjengelige tall. Videre </w:t>
      </w:r>
      <w:r w:rsidR="000F39B8">
        <w:rPr>
          <w:sz w:val="22"/>
          <w:szCs w:val="22"/>
        </w:rPr>
        <w:t>må ikke rapporten leses som en modenhetsanalyse</w:t>
      </w:r>
      <w:r w:rsidR="000F3759">
        <w:rPr>
          <w:sz w:val="22"/>
          <w:szCs w:val="22"/>
        </w:rPr>
        <w:t xml:space="preserve">, en </w:t>
      </w:r>
      <w:proofErr w:type="spellStart"/>
      <w:r w:rsidR="000F3759">
        <w:rPr>
          <w:sz w:val="22"/>
          <w:szCs w:val="22"/>
        </w:rPr>
        <w:t>benchmarkstudie</w:t>
      </w:r>
      <w:proofErr w:type="spellEnd"/>
      <w:r w:rsidR="000F39B8">
        <w:rPr>
          <w:sz w:val="22"/>
          <w:szCs w:val="22"/>
        </w:rPr>
        <w:t xml:space="preserve"> eller en preskriptiv </w:t>
      </w:r>
      <w:r w:rsidR="006F0918">
        <w:rPr>
          <w:sz w:val="22"/>
          <w:szCs w:val="22"/>
        </w:rPr>
        <w:t xml:space="preserve">rapport som omtaler </w:t>
      </w:r>
      <w:r w:rsidR="000F3759">
        <w:rPr>
          <w:sz w:val="22"/>
          <w:szCs w:val="22"/>
        </w:rPr>
        <w:t>hvordan</w:t>
      </w:r>
      <w:r w:rsidR="006F0918">
        <w:rPr>
          <w:sz w:val="22"/>
          <w:szCs w:val="22"/>
        </w:rPr>
        <w:t xml:space="preserve"> sektoren burde </w:t>
      </w:r>
      <w:r w:rsidR="000F3759">
        <w:rPr>
          <w:sz w:val="22"/>
          <w:szCs w:val="22"/>
        </w:rPr>
        <w:t>styre sine IKT-kostnader. Rapporten er ment som et innsiktsverktøy som både</w:t>
      </w:r>
      <w:r w:rsidR="006A6679">
        <w:rPr>
          <w:sz w:val="22"/>
          <w:szCs w:val="22"/>
        </w:rPr>
        <w:t xml:space="preserve"> skal gi innsikt i historisk kostnadsutvikling, analyse av et øyeblikksbilde </w:t>
      </w:r>
      <w:r w:rsidR="007B2972">
        <w:rPr>
          <w:sz w:val="22"/>
          <w:szCs w:val="22"/>
        </w:rPr>
        <w:t xml:space="preserve">av sektoren, og </w:t>
      </w:r>
      <w:r w:rsidR="00EE1CEF">
        <w:rPr>
          <w:sz w:val="22"/>
          <w:szCs w:val="22"/>
        </w:rPr>
        <w:t>være et grunnlag for konstruktive diskusjoner på et nasjonalt nivå.</w:t>
      </w:r>
    </w:p>
    <w:p w14:paraId="491E73AD" w14:textId="77777777" w:rsidR="00246CDD" w:rsidRDefault="00246CDD" w:rsidP="00EB5EEC">
      <w:pPr>
        <w:pStyle w:val="Default"/>
        <w:rPr>
          <w:sz w:val="22"/>
          <w:szCs w:val="22"/>
        </w:rPr>
      </w:pPr>
    </w:p>
    <w:p w14:paraId="4DA3E89A" w14:textId="7BE1B98E" w:rsidR="00EB5EEC" w:rsidRDefault="00EB5EEC" w:rsidP="00EB5EEC">
      <w:pPr>
        <w:pStyle w:val="Default"/>
        <w:rPr>
          <w:sz w:val="22"/>
          <w:szCs w:val="22"/>
        </w:rPr>
      </w:pPr>
      <w:r>
        <w:rPr>
          <w:sz w:val="22"/>
          <w:szCs w:val="22"/>
        </w:rPr>
        <w:t>De største faktorene som påvirker</w:t>
      </w:r>
      <w:r w:rsidR="00A7603E">
        <w:rPr>
          <w:sz w:val="22"/>
          <w:szCs w:val="22"/>
        </w:rPr>
        <w:t>,</w:t>
      </w:r>
      <w:r>
        <w:rPr>
          <w:sz w:val="22"/>
          <w:szCs w:val="22"/>
        </w:rPr>
        <w:t xml:space="preserve"> eller kan påvirke</w:t>
      </w:r>
      <w:r w:rsidR="00A7603E">
        <w:rPr>
          <w:sz w:val="22"/>
          <w:szCs w:val="22"/>
        </w:rPr>
        <w:t>,</w:t>
      </w:r>
      <w:r>
        <w:rPr>
          <w:sz w:val="22"/>
          <w:szCs w:val="22"/>
        </w:rPr>
        <w:t xml:space="preserve"> datakvalitet i undersøkelsen er oppsummert i punktene nedenfor. </w:t>
      </w:r>
    </w:p>
    <w:p w14:paraId="241F2959" w14:textId="7B51EC81" w:rsidR="00EB5EEC" w:rsidRDefault="00954FBB" w:rsidP="003C1BA8">
      <w:pPr>
        <w:pStyle w:val="Default"/>
        <w:numPr>
          <w:ilvl w:val="0"/>
          <w:numId w:val="17"/>
        </w:numPr>
        <w:spacing w:after="115"/>
        <w:rPr>
          <w:sz w:val="22"/>
          <w:szCs w:val="22"/>
        </w:rPr>
      </w:pPr>
      <w:r>
        <w:rPr>
          <w:sz w:val="22"/>
          <w:szCs w:val="22"/>
        </w:rPr>
        <w:t>Aktørene</w:t>
      </w:r>
      <w:r w:rsidR="00EB5EEC">
        <w:rPr>
          <w:sz w:val="22"/>
          <w:szCs w:val="22"/>
        </w:rPr>
        <w:t xml:space="preserve"> kan ha ulik forståelse av begreper og definisjoner som benyttes i undersøkelsen. Direktoratet for e-helse jobber fortløpende sammen med </w:t>
      </w:r>
      <w:r>
        <w:rPr>
          <w:sz w:val="22"/>
          <w:szCs w:val="22"/>
        </w:rPr>
        <w:t>aktørene</w:t>
      </w:r>
      <w:r w:rsidR="00EB5EEC">
        <w:rPr>
          <w:sz w:val="22"/>
          <w:szCs w:val="22"/>
        </w:rPr>
        <w:t xml:space="preserve"> om avklaringer, tolkninger og misforståelser knyttet til begreper og definisjoner. </w:t>
      </w:r>
    </w:p>
    <w:p w14:paraId="5A820728" w14:textId="10EB08AD" w:rsidR="00EB5EEC" w:rsidRDefault="00EB5EEC" w:rsidP="003C1BA8">
      <w:pPr>
        <w:pStyle w:val="Default"/>
        <w:numPr>
          <w:ilvl w:val="0"/>
          <w:numId w:val="17"/>
        </w:numPr>
        <w:spacing w:after="115"/>
        <w:rPr>
          <w:sz w:val="22"/>
          <w:szCs w:val="22"/>
        </w:rPr>
      </w:pPr>
      <w:r>
        <w:rPr>
          <w:sz w:val="22"/>
          <w:szCs w:val="22"/>
        </w:rPr>
        <w:t>Data innhentes på et «god</w:t>
      </w:r>
      <w:r w:rsidR="004B7944">
        <w:rPr>
          <w:sz w:val="22"/>
          <w:szCs w:val="22"/>
        </w:rPr>
        <w:t>t</w:t>
      </w:r>
      <w:r>
        <w:rPr>
          <w:sz w:val="22"/>
          <w:szCs w:val="22"/>
        </w:rPr>
        <w:t xml:space="preserve"> nok» nivå</w:t>
      </w:r>
      <w:r w:rsidR="00712EC1">
        <w:rPr>
          <w:sz w:val="22"/>
          <w:szCs w:val="22"/>
        </w:rPr>
        <w:t>,</w:t>
      </w:r>
      <w:r>
        <w:rPr>
          <w:sz w:val="22"/>
          <w:szCs w:val="22"/>
        </w:rPr>
        <w:t xml:space="preserve"> og etter beste evne og tilgjengelig kapasitet fra </w:t>
      </w:r>
      <w:r w:rsidR="00954FBB">
        <w:rPr>
          <w:sz w:val="22"/>
          <w:szCs w:val="22"/>
        </w:rPr>
        <w:t>aktørene</w:t>
      </w:r>
      <w:r>
        <w:rPr>
          <w:sz w:val="22"/>
          <w:szCs w:val="22"/>
        </w:rPr>
        <w:t xml:space="preserve">. Kvaliteten i tallene vil derfor alltid kunne begrenses av disse forholdene </w:t>
      </w:r>
    </w:p>
    <w:p w14:paraId="495982D7" w14:textId="23B89969" w:rsidR="00EB5EEC" w:rsidRDefault="00EB5EEC" w:rsidP="003C1BA8">
      <w:pPr>
        <w:pStyle w:val="Default"/>
        <w:numPr>
          <w:ilvl w:val="0"/>
          <w:numId w:val="17"/>
        </w:numPr>
        <w:spacing w:after="115"/>
        <w:rPr>
          <w:sz w:val="22"/>
          <w:szCs w:val="22"/>
        </w:rPr>
      </w:pPr>
      <w:r>
        <w:rPr>
          <w:sz w:val="22"/>
          <w:szCs w:val="22"/>
        </w:rPr>
        <w:t xml:space="preserve">Valutasvingninger gjennom året kan påvirke kvalitet i sammenligningen med internasjonale kostnadsmålinger. For internasjonale sammenlikninger benytter undersøkelsen gjennomsnittlig dollarkurs (NOK/USD) for det året data samles inn fra. </w:t>
      </w:r>
    </w:p>
    <w:p w14:paraId="55C76F8B" w14:textId="26751AC3" w:rsidR="00EB5EEC" w:rsidRDefault="00EB5EEC" w:rsidP="003C1BA8">
      <w:pPr>
        <w:pStyle w:val="Default"/>
        <w:numPr>
          <w:ilvl w:val="0"/>
          <w:numId w:val="17"/>
        </w:numPr>
        <w:rPr>
          <w:sz w:val="22"/>
          <w:szCs w:val="22"/>
        </w:rPr>
      </w:pPr>
      <w:r>
        <w:rPr>
          <w:sz w:val="22"/>
          <w:szCs w:val="22"/>
        </w:rPr>
        <w:lastRenderedPageBreak/>
        <w:t xml:space="preserve">De historiske tallene i rapporten er ikke inflasjonsjusterte slik at perioder med lav eller unormalt høy inflasjon kan påvirke kvaliteten i sammenligninger over lengre tid. </w:t>
      </w:r>
    </w:p>
    <w:p w14:paraId="2E63F008" w14:textId="71AB3BBB" w:rsidR="00D41C2C" w:rsidRDefault="004F2DAC" w:rsidP="003C1BA8">
      <w:pPr>
        <w:pStyle w:val="Default"/>
        <w:numPr>
          <w:ilvl w:val="0"/>
          <w:numId w:val="17"/>
        </w:numPr>
        <w:rPr>
          <w:sz w:val="22"/>
          <w:szCs w:val="22"/>
        </w:rPr>
      </w:pPr>
      <w:r>
        <w:rPr>
          <w:sz w:val="22"/>
          <w:szCs w:val="22"/>
        </w:rPr>
        <w:t xml:space="preserve">Rapportering </w:t>
      </w:r>
      <w:r w:rsidR="00D55197">
        <w:rPr>
          <w:sz w:val="22"/>
          <w:szCs w:val="22"/>
        </w:rPr>
        <w:t>for prosjekt</w:t>
      </w:r>
      <w:r w:rsidR="00D1327D">
        <w:rPr>
          <w:sz w:val="22"/>
          <w:szCs w:val="22"/>
        </w:rPr>
        <w:t xml:space="preserve">er med en kostnadsstørrelse over 10 millioner </w:t>
      </w:r>
      <w:r w:rsidR="00B11279">
        <w:rPr>
          <w:sz w:val="22"/>
          <w:szCs w:val="22"/>
        </w:rPr>
        <w:t xml:space="preserve">kroner </w:t>
      </w:r>
      <w:r w:rsidR="00D1327D">
        <w:rPr>
          <w:sz w:val="22"/>
          <w:szCs w:val="22"/>
        </w:rPr>
        <w:t xml:space="preserve">i 2021 er blitt beriket </w:t>
      </w:r>
      <w:r w:rsidR="008D594D">
        <w:rPr>
          <w:sz w:val="22"/>
          <w:szCs w:val="22"/>
        </w:rPr>
        <w:t xml:space="preserve">med data knyttet til </w:t>
      </w:r>
      <w:r w:rsidR="00981850">
        <w:rPr>
          <w:sz w:val="22"/>
          <w:szCs w:val="22"/>
        </w:rPr>
        <w:t>oppslutning</w:t>
      </w:r>
      <w:r w:rsidR="000B259D">
        <w:rPr>
          <w:sz w:val="22"/>
          <w:szCs w:val="22"/>
        </w:rPr>
        <w:t xml:space="preserve"> om gevinstkategorier, primær målgruppe, drivere</w:t>
      </w:r>
      <w:r w:rsidR="00981850">
        <w:rPr>
          <w:sz w:val="22"/>
          <w:szCs w:val="22"/>
        </w:rPr>
        <w:t xml:space="preserve"> og domene. Disse klassifiseringene er gjort </w:t>
      </w:r>
      <w:r w:rsidR="00184CB7">
        <w:rPr>
          <w:sz w:val="22"/>
          <w:szCs w:val="22"/>
        </w:rPr>
        <w:t xml:space="preserve">av direktoratet for e-helse, basert på </w:t>
      </w:r>
      <w:r w:rsidR="009D7134">
        <w:rPr>
          <w:sz w:val="22"/>
          <w:szCs w:val="22"/>
        </w:rPr>
        <w:t>tilgjengelig informasjon om prosjektene fra aktørenes nettsider, prosjektbeskrivelser, års</w:t>
      </w:r>
      <w:r w:rsidR="00B56BA8">
        <w:rPr>
          <w:sz w:val="22"/>
          <w:szCs w:val="22"/>
        </w:rPr>
        <w:t xml:space="preserve">rapporter mv. </w:t>
      </w:r>
      <w:r w:rsidR="002371AF">
        <w:rPr>
          <w:sz w:val="22"/>
          <w:szCs w:val="22"/>
        </w:rPr>
        <w:t xml:space="preserve">Kategoriene er ikke gjensidig utelukkende, og klassifisering er gjort </w:t>
      </w:r>
      <w:r w:rsidR="007431CF">
        <w:rPr>
          <w:sz w:val="22"/>
          <w:szCs w:val="22"/>
        </w:rPr>
        <w:t>etter beste skjønn</w:t>
      </w:r>
      <w:r w:rsidR="0012171A">
        <w:rPr>
          <w:sz w:val="22"/>
          <w:szCs w:val="22"/>
        </w:rPr>
        <w:t xml:space="preserve"> basert på tilgjengelig informasjon</w:t>
      </w:r>
      <w:r w:rsidR="00687889">
        <w:rPr>
          <w:sz w:val="22"/>
          <w:szCs w:val="22"/>
        </w:rPr>
        <w:t xml:space="preserve">. Dette kan føre til </w:t>
      </w:r>
      <w:r w:rsidR="00F20C09">
        <w:rPr>
          <w:sz w:val="22"/>
          <w:szCs w:val="22"/>
        </w:rPr>
        <w:t>at</w:t>
      </w:r>
      <w:r w:rsidR="00BB1441">
        <w:rPr>
          <w:sz w:val="22"/>
          <w:szCs w:val="22"/>
        </w:rPr>
        <w:t xml:space="preserve"> dataen knyttet til </w:t>
      </w:r>
      <w:r w:rsidR="0044677A">
        <w:rPr>
          <w:sz w:val="22"/>
          <w:szCs w:val="22"/>
        </w:rPr>
        <w:t xml:space="preserve">noen enkeltprosjekter kan være upresis. Funnene er imidlertid basert på </w:t>
      </w:r>
      <w:r w:rsidR="00BC1231">
        <w:rPr>
          <w:sz w:val="22"/>
          <w:szCs w:val="22"/>
        </w:rPr>
        <w:t>trende</w:t>
      </w:r>
      <w:r w:rsidR="002A5D05">
        <w:rPr>
          <w:sz w:val="22"/>
          <w:szCs w:val="22"/>
        </w:rPr>
        <w:t>r</w:t>
      </w:r>
      <w:r w:rsidR="00BC1231">
        <w:rPr>
          <w:sz w:val="22"/>
          <w:szCs w:val="22"/>
        </w:rPr>
        <w:t xml:space="preserve"> i klassifiseringen av over </w:t>
      </w:r>
      <w:r w:rsidR="00FC4285">
        <w:rPr>
          <w:sz w:val="22"/>
          <w:szCs w:val="22"/>
        </w:rPr>
        <w:t>100 prosjekter.</w:t>
      </w:r>
    </w:p>
    <w:p w14:paraId="04A49CEA" w14:textId="022FE3D3" w:rsidR="00622E31" w:rsidRDefault="00622E31">
      <w:pPr>
        <w:tabs>
          <w:tab w:val="clear" w:pos="357"/>
        </w:tabs>
        <w:spacing w:after="0" w:line="240" w:lineRule="auto"/>
      </w:pPr>
      <w:r>
        <w:br w:type="page"/>
      </w:r>
    </w:p>
    <w:p w14:paraId="45AD8A94" w14:textId="54A549CC" w:rsidR="00382233" w:rsidRDefault="004459AC" w:rsidP="00BB30AE">
      <w:pPr>
        <w:pStyle w:val="Overskrift1"/>
      </w:pPr>
      <w:bookmarkStart w:id="4" w:name="_Toc120716802"/>
      <w:bookmarkStart w:id="5" w:name="_Toc120716864"/>
      <w:bookmarkStart w:id="6" w:name="_Toc146784540"/>
      <w:bookmarkEnd w:id="4"/>
      <w:bookmarkEnd w:id="5"/>
      <w:r>
        <w:lastRenderedPageBreak/>
        <w:t>Nasjonalt overblikk</w:t>
      </w:r>
      <w:r w:rsidR="007A66A1">
        <w:t xml:space="preserve"> </w:t>
      </w:r>
      <w:r w:rsidR="00402D93">
        <w:t>på</w:t>
      </w:r>
      <w:r w:rsidR="000C2245">
        <w:t xml:space="preserve"> utviklingen i </w:t>
      </w:r>
      <w:r w:rsidR="00A5366A">
        <w:t>IKT-ressurs</w:t>
      </w:r>
      <w:r w:rsidR="000C2245">
        <w:t>innsats</w:t>
      </w:r>
      <w:bookmarkStart w:id="7" w:name="_Toc120716804"/>
      <w:bookmarkStart w:id="8" w:name="_Toc120716866"/>
      <w:bookmarkStart w:id="9" w:name="_Toc120716805"/>
      <w:bookmarkStart w:id="10" w:name="_Toc120716867"/>
      <w:bookmarkStart w:id="11" w:name="_Toc120716806"/>
      <w:bookmarkStart w:id="12" w:name="_Toc120716868"/>
      <w:bookmarkStart w:id="13" w:name="_Toc120716807"/>
      <w:bookmarkStart w:id="14" w:name="_Toc120716869"/>
      <w:bookmarkStart w:id="15" w:name="_Toc120716808"/>
      <w:bookmarkStart w:id="16" w:name="_Toc120716870"/>
      <w:bookmarkStart w:id="17" w:name="_Toc120716809"/>
      <w:bookmarkStart w:id="18" w:name="_Toc120716871"/>
      <w:bookmarkEnd w:id="6"/>
      <w:bookmarkEnd w:id="7"/>
      <w:bookmarkEnd w:id="8"/>
      <w:bookmarkEnd w:id="9"/>
      <w:bookmarkEnd w:id="10"/>
      <w:bookmarkEnd w:id="11"/>
      <w:bookmarkEnd w:id="12"/>
      <w:bookmarkEnd w:id="13"/>
      <w:bookmarkEnd w:id="14"/>
      <w:bookmarkEnd w:id="15"/>
      <w:bookmarkEnd w:id="16"/>
      <w:bookmarkEnd w:id="17"/>
      <w:bookmarkEnd w:id="18"/>
    </w:p>
    <w:p w14:paraId="0DF55438" w14:textId="0D8B64B5" w:rsidR="007F1255" w:rsidRDefault="00F45C22" w:rsidP="00FA3715">
      <w:pPr>
        <w:pStyle w:val="Overskrift2"/>
      </w:pPr>
      <w:bookmarkStart w:id="19" w:name="_Toc115699538"/>
      <w:bookmarkStart w:id="20" w:name="_Toc115699539"/>
      <w:bookmarkStart w:id="21" w:name="_Toc117156988"/>
      <w:bookmarkStart w:id="22" w:name="_Toc117156989"/>
      <w:bookmarkStart w:id="23" w:name="_Toc117156990"/>
      <w:bookmarkStart w:id="24" w:name="_Toc117156991"/>
      <w:bookmarkStart w:id="25" w:name="_Toc117156992"/>
      <w:bookmarkStart w:id="26" w:name="_Toc117156993"/>
      <w:bookmarkStart w:id="27" w:name="_Toc146784541"/>
      <w:bookmarkEnd w:id="19"/>
      <w:bookmarkEnd w:id="20"/>
      <w:bookmarkEnd w:id="21"/>
      <w:bookmarkEnd w:id="22"/>
      <w:bookmarkEnd w:id="23"/>
      <w:bookmarkEnd w:id="24"/>
      <w:bookmarkEnd w:id="25"/>
      <w:bookmarkEnd w:id="26"/>
      <w:r>
        <w:t>Kontekst og overblikk på</w:t>
      </w:r>
      <w:r w:rsidR="003D54B3">
        <w:t xml:space="preserve"> sektoren</w:t>
      </w:r>
      <w:bookmarkEnd w:id="27"/>
    </w:p>
    <w:p w14:paraId="20D82A1A" w14:textId="44F6EA37" w:rsidR="00653C94" w:rsidRDefault="00653C94" w:rsidP="00653C94">
      <w:r>
        <w:t>Underlaget til denne rapporten inneholder et stort omfang av tidsserier for ulike nøkkeltall. Merk at denne rapporten kun løfter frem et utvalg av disse</w:t>
      </w:r>
      <w:r w:rsidR="00755637">
        <w:t>,</w:t>
      </w:r>
      <w:r>
        <w:t xml:space="preserve"> for å sette søkelys mot noe av den viktigste utviklingen for sektoren i 2021. Videre er nøkkeltallene i denne delen av rapporten aggregert til et nasjonalt nivå, for å se på utviklingen i sektor som helhet. For nøkkeltall for enkeltaktører, se rapportens kapittel 4.</w:t>
      </w:r>
    </w:p>
    <w:p w14:paraId="0EBDCAB9" w14:textId="2A002C1D" w:rsidR="00393067" w:rsidRDefault="00BF1777" w:rsidP="00356209">
      <w:r>
        <w:t xml:space="preserve">Oppsummeringen av utviklingstrender </w:t>
      </w:r>
      <w:r w:rsidR="00072A4B">
        <w:t xml:space="preserve">i </w:t>
      </w:r>
      <w:r w:rsidR="00763D2C">
        <w:t>ra</w:t>
      </w:r>
      <w:r w:rsidR="005D7F17">
        <w:t>pporten</w:t>
      </w:r>
      <w:r w:rsidR="007159BC">
        <w:t xml:space="preserve"> </w:t>
      </w:r>
      <w:r>
        <w:t xml:space="preserve">dekker </w:t>
      </w:r>
      <w:r w:rsidR="006070AE">
        <w:t xml:space="preserve">fortrinnsvis </w:t>
      </w:r>
      <w:r w:rsidR="007159BC">
        <w:t>utviklingstrekk knyttet til IKT-kostnader</w:t>
      </w:r>
      <w:r w:rsidR="00BF7790">
        <w:t>,</w:t>
      </w:r>
      <w:r w:rsidR="007159BC">
        <w:t xml:space="preserve"> og i liten grad trender knyttet til</w:t>
      </w:r>
      <w:r w:rsidR="00823249">
        <w:t xml:space="preserve"> </w:t>
      </w:r>
      <w:r w:rsidR="003D395A">
        <w:t xml:space="preserve">resultater og gevinster </w:t>
      </w:r>
      <w:r w:rsidR="000B6DE9">
        <w:t>disse kostandene søker å realisere</w:t>
      </w:r>
      <w:r w:rsidR="00230332">
        <w:t xml:space="preserve">. </w:t>
      </w:r>
      <w:r w:rsidR="0045097D">
        <w:t>Direktoratet har</w:t>
      </w:r>
      <w:r w:rsidR="00990FA4">
        <w:t xml:space="preserve"> i </w:t>
      </w:r>
      <w:r w:rsidR="003F44AA">
        <w:t xml:space="preserve">2022 startet </w:t>
      </w:r>
      <w:r w:rsidR="000B6DE9">
        <w:t xml:space="preserve">et </w:t>
      </w:r>
      <w:r w:rsidR="003F44AA">
        <w:t xml:space="preserve">arbeidet </w:t>
      </w:r>
      <w:r w:rsidR="000B6DE9">
        <w:t xml:space="preserve">for å </w:t>
      </w:r>
      <w:r w:rsidR="003F44AA">
        <w:t xml:space="preserve">knytte IKT-kostnadene </w:t>
      </w:r>
      <w:r w:rsidR="00607553">
        <w:t>til</w:t>
      </w:r>
      <w:r w:rsidR="00237B89">
        <w:t xml:space="preserve"> </w:t>
      </w:r>
      <w:r w:rsidR="00611504">
        <w:t xml:space="preserve">planlagte </w:t>
      </w:r>
      <w:r w:rsidR="00237B89">
        <w:t xml:space="preserve">resultater og gevinster, men </w:t>
      </w:r>
      <w:r w:rsidR="009354A7">
        <w:t>foreløpig dataunderlag er ikke</w:t>
      </w:r>
      <w:r w:rsidR="00921C75">
        <w:t xml:space="preserve"> av</w:t>
      </w:r>
      <w:r w:rsidR="009354A7">
        <w:t xml:space="preserve"> tilstrekkelig </w:t>
      </w:r>
      <w:r w:rsidR="00921C75">
        <w:t xml:space="preserve">omfang og kvalitet </w:t>
      </w:r>
      <w:r w:rsidR="009354A7">
        <w:t xml:space="preserve">til å </w:t>
      </w:r>
      <w:r w:rsidR="00E6443D">
        <w:t xml:space="preserve">kunne </w:t>
      </w:r>
      <w:r w:rsidR="009354A7">
        <w:t xml:space="preserve">analysere </w:t>
      </w:r>
      <w:r w:rsidR="0081751C">
        <w:t xml:space="preserve">slike </w:t>
      </w:r>
      <w:r w:rsidR="009354A7">
        <w:t>trender</w:t>
      </w:r>
      <w:r w:rsidR="000058BE">
        <w:t xml:space="preserve"> over tid.</w:t>
      </w:r>
      <w:r w:rsidR="009D1179">
        <w:t xml:space="preserve"> En </w:t>
      </w:r>
      <w:r w:rsidR="00277F11">
        <w:t>overordnet analyse for 2021 følger i analysedelen av denne rapporten</w:t>
      </w:r>
      <w:r w:rsidR="0011036C">
        <w:t>, kapittel 3</w:t>
      </w:r>
      <w:r w:rsidR="00277F11">
        <w:t xml:space="preserve">. </w:t>
      </w:r>
    </w:p>
    <w:p w14:paraId="05DEC84C" w14:textId="472A9544" w:rsidR="00286890" w:rsidRDefault="004D2CD0" w:rsidP="00356209">
      <w:r>
        <w:t xml:space="preserve">Tabellen </w:t>
      </w:r>
      <w:r w:rsidR="00845F4E">
        <w:t>under</w:t>
      </w:r>
      <w:r w:rsidR="003D54B3">
        <w:t xml:space="preserve"> </w:t>
      </w:r>
      <w:r>
        <w:t xml:space="preserve">viser </w:t>
      </w:r>
      <w:r w:rsidR="00214B44">
        <w:t>enkelte</w:t>
      </w:r>
      <w:r w:rsidR="0048413A">
        <w:t xml:space="preserve"> nøkkeltall for de regionale helseforetakene i 2021. Vi har valgt å inkludere dette for å </w:t>
      </w:r>
      <w:r w:rsidR="000830BE">
        <w:t>gi leser en forståelse av størrelse og nedslagsfelt for de ulike regionene.</w:t>
      </w:r>
    </w:p>
    <w:tbl>
      <w:tblPr>
        <w:tblStyle w:val="Rutenettabell4"/>
        <w:tblW w:w="9067" w:type="dxa"/>
        <w:tblLayout w:type="fixed"/>
        <w:tblLook w:val="04A0" w:firstRow="1" w:lastRow="0" w:firstColumn="1" w:lastColumn="0" w:noHBand="0" w:noVBand="1"/>
      </w:tblPr>
      <w:tblGrid>
        <w:gridCol w:w="1813"/>
        <w:gridCol w:w="1813"/>
        <w:gridCol w:w="1814"/>
        <w:gridCol w:w="1813"/>
        <w:gridCol w:w="1814"/>
      </w:tblGrid>
      <w:tr w:rsidR="00F21901" w:rsidRPr="00C374FE" w14:paraId="085F24A0" w14:textId="77777777" w:rsidTr="00C8238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3" w:type="dxa"/>
            <w:hideMark/>
          </w:tcPr>
          <w:p w14:paraId="610C4513" w14:textId="77777777" w:rsidR="00F21901" w:rsidRPr="00C374FE" w:rsidRDefault="00F21901" w:rsidP="00AE60EE">
            <w:pPr>
              <w:spacing w:after="0" w:line="240" w:lineRule="auto"/>
              <w:rPr>
                <w:rFonts w:ascii="Calibri" w:eastAsia="Times New Roman" w:hAnsi="Calibri" w:cs="Calibri"/>
                <w:color w:val="FFFFFF"/>
                <w:lang w:eastAsia="nb-NO"/>
              </w:rPr>
            </w:pPr>
          </w:p>
        </w:tc>
        <w:tc>
          <w:tcPr>
            <w:tcW w:w="1813" w:type="dxa"/>
            <w:hideMark/>
          </w:tcPr>
          <w:p w14:paraId="2EC2C744"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Nord</w:t>
            </w:r>
          </w:p>
        </w:tc>
        <w:tc>
          <w:tcPr>
            <w:tcW w:w="1814" w:type="dxa"/>
            <w:hideMark/>
          </w:tcPr>
          <w:p w14:paraId="01633B9F"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Midt</w:t>
            </w:r>
          </w:p>
        </w:tc>
        <w:tc>
          <w:tcPr>
            <w:tcW w:w="1813" w:type="dxa"/>
            <w:hideMark/>
          </w:tcPr>
          <w:p w14:paraId="56F2F3EA"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Vest</w:t>
            </w:r>
          </w:p>
        </w:tc>
        <w:tc>
          <w:tcPr>
            <w:tcW w:w="1814" w:type="dxa"/>
            <w:hideMark/>
          </w:tcPr>
          <w:p w14:paraId="418437D8"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Sør-Øst</w:t>
            </w:r>
          </w:p>
        </w:tc>
      </w:tr>
      <w:tr w:rsidR="00F04A33" w:rsidRPr="00C374FE" w14:paraId="36F71CB0" w14:textId="77777777" w:rsidTr="00F04A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3" w:type="dxa"/>
            <w:hideMark/>
          </w:tcPr>
          <w:p w14:paraId="450CC8B8"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Innbyggere</w:t>
            </w:r>
          </w:p>
        </w:tc>
        <w:tc>
          <w:tcPr>
            <w:tcW w:w="1813" w:type="dxa"/>
            <w:hideMark/>
          </w:tcPr>
          <w:p w14:paraId="167D165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500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4" w:type="dxa"/>
            <w:hideMark/>
          </w:tcPr>
          <w:p w14:paraId="57CE8C6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700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3" w:type="dxa"/>
            <w:hideMark/>
          </w:tcPr>
          <w:p w14:paraId="29ED16DF"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w:t>
            </w:r>
            <w:r>
              <w:rPr>
                <w:rFonts w:ascii="Calibri" w:eastAsia="Times New Roman" w:hAnsi="Calibri" w:cs="Calibri"/>
                <w:color w:val="000000"/>
                <w:lang w:eastAsia="nb-NO"/>
              </w:rPr>
              <w:t>.</w:t>
            </w:r>
            <w:r w:rsidRPr="00C374FE">
              <w:rPr>
                <w:rFonts w:ascii="Calibri" w:eastAsia="Times New Roman" w:hAnsi="Calibri" w:cs="Calibri"/>
                <w:color w:val="000000"/>
                <w:lang w:eastAsia="nb-NO"/>
              </w:rPr>
              <w:t>100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4" w:type="dxa"/>
            <w:hideMark/>
          </w:tcPr>
          <w:p w14:paraId="07933F7C"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w:t>
            </w:r>
            <w:r>
              <w:rPr>
                <w:rFonts w:ascii="Calibri" w:eastAsia="Times New Roman" w:hAnsi="Calibri" w:cs="Calibri"/>
                <w:color w:val="000000"/>
                <w:lang w:eastAsia="nb-NO"/>
              </w:rPr>
              <w:t>.</w:t>
            </w:r>
            <w:r w:rsidRPr="00C374FE">
              <w:rPr>
                <w:rFonts w:ascii="Calibri" w:eastAsia="Times New Roman" w:hAnsi="Calibri" w:cs="Calibri"/>
                <w:color w:val="000000"/>
                <w:lang w:eastAsia="nb-NO"/>
              </w:rPr>
              <w:t>100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r>
      <w:tr w:rsidR="00F21901" w:rsidRPr="00C374FE" w14:paraId="0FE489C1" w14:textId="77777777" w:rsidTr="00C8238C">
        <w:trPr>
          <w:trHeight w:val="366"/>
        </w:trPr>
        <w:tc>
          <w:tcPr>
            <w:cnfStyle w:val="001000000000" w:firstRow="0" w:lastRow="0" w:firstColumn="1" w:lastColumn="0" w:oddVBand="0" w:evenVBand="0" w:oddHBand="0" w:evenHBand="0" w:firstRowFirstColumn="0" w:firstRowLastColumn="0" w:lastRowFirstColumn="0" w:lastRowLastColumn="0"/>
            <w:tcW w:w="1813" w:type="dxa"/>
            <w:hideMark/>
          </w:tcPr>
          <w:p w14:paraId="41145EF5"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Antall ansatte</w:t>
            </w:r>
          </w:p>
        </w:tc>
        <w:tc>
          <w:tcPr>
            <w:tcW w:w="1813" w:type="dxa"/>
            <w:hideMark/>
          </w:tcPr>
          <w:p w14:paraId="458BC0BC"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19000</w:t>
            </w:r>
          </w:p>
        </w:tc>
        <w:tc>
          <w:tcPr>
            <w:tcW w:w="1814" w:type="dxa"/>
            <w:hideMark/>
          </w:tcPr>
          <w:p w14:paraId="1D6DBD12"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22000</w:t>
            </w:r>
          </w:p>
        </w:tc>
        <w:tc>
          <w:tcPr>
            <w:tcW w:w="1813" w:type="dxa"/>
            <w:hideMark/>
          </w:tcPr>
          <w:p w14:paraId="15FB2E0A"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29000</w:t>
            </w:r>
          </w:p>
        </w:tc>
        <w:tc>
          <w:tcPr>
            <w:tcW w:w="1814" w:type="dxa"/>
            <w:hideMark/>
          </w:tcPr>
          <w:p w14:paraId="6021E895"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81000</w:t>
            </w:r>
          </w:p>
        </w:tc>
      </w:tr>
      <w:tr w:rsidR="00F04A33" w:rsidRPr="00C374FE" w14:paraId="303A363E" w14:textId="77777777" w:rsidTr="00C8238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13" w:type="dxa"/>
            <w:hideMark/>
          </w:tcPr>
          <w:p w14:paraId="4D855AA0"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Ansatte IT-organisasjon</w:t>
            </w:r>
          </w:p>
        </w:tc>
        <w:tc>
          <w:tcPr>
            <w:tcW w:w="1813" w:type="dxa"/>
            <w:hideMark/>
          </w:tcPr>
          <w:p w14:paraId="0FF277BB"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350</w:t>
            </w:r>
          </w:p>
        </w:tc>
        <w:tc>
          <w:tcPr>
            <w:tcW w:w="1814" w:type="dxa"/>
            <w:hideMark/>
          </w:tcPr>
          <w:p w14:paraId="63E7FEF9"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464</w:t>
            </w:r>
          </w:p>
        </w:tc>
        <w:tc>
          <w:tcPr>
            <w:tcW w:w="1813" w:type="dxa"/>
            <w:hideMark/>
          </w:tcPr>
          <w:p w14:paraId="562D7F95"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605</w:t>
            </w:r>
          </w:p>
        </w:tc>
        <w:tc>
          <w:tcPr>
            <w:tcW w:w="1814" w:type="dxa"/>
            <w:hideMark/>
          </w:tcPr>
          <w:p w14:paraId="2A844AE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1500</w:t>
            </w:r>
          </w:p>
        </w:tc>
      </w:tr>
      <w:tr w:rsidR="00F21901" w:rsidRPr="00C374FE" w14:paraId="1FD1A2FB" w14:textId="77777777" w:rsidTr="00C8238C">
        <w:trPr>
          <w:trHeight w:val="697"/>
        </w:trPr>
        <w:tc>
          <w:tcPr>
            <w:cnfStyle w:val="001000000000" w:firstRow="0" w:lastRow="0" w:firstColumn="1" w:lastColumn="0" w:oddVBand="0" w:evenVBand="0" w:oddHBand="0" w:evenHBand="0" w:firstRowFirstColumn="0" w:firstRowLastColumn="0" w:lastRowFirstColumn="0" w:lastRowLastColumn="0"/>
            <w:tcW w:w="1813" w:type="dxa"/>
            <w:hideMark/>
          </w:tcPr>
          <w:p w14:paraId="443FB673"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IKT-investeringer</w:t>
            </w:r>
            <w:r>
              <w:rPr>
                <w:rFonts w:ascii="Calibri" w:eastAsia="Times New Roman" w:hAnsi="Calibri" w:cs="Calibri"/>
                <w:color w:val="000000"/>
                <w:lang w:eastAsia="nb-NO"/>
              </w:rPr>
              <w:t xml:space="preserve"> (2021)</w:t>
            </w:r>
          </w:p>
        </w:tc>
        <w:tc>
          <w:tcPr>
            <w:tcW w:w="1813" w:type="dxa"/>
            <w:hideMark/>
          </w:tcPr>
          <w:p w14:paraId="5B473005"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219 MNOK</w:t>
            </w:r>
          </w:p>
        </w:tc>
        <w:tc>
          <w:tcPr>
            <w:tcW w:w="1814" w:type="dxa"/>
            <w:hideMark/>
          </w:tcPr>
          <w:p w14:paraId="550A0C47"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782 MNOK</w:t>
            </w:r>
          </w:p>
        </w:tc>
        <w:tc>
          <w:tcPr>
            <w:tcW w:w="1813" w:type="dxa"/>
            <w:hideMark/>
          </w:tcPr>
          <w:p w14:paraId="7D85DF2C"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598 MNOK</w:t>
            </w:r>
          </w:p>
        </w:tc>
        <w:tc>
          <w:tcPr>
            <w:tcW w:w="1814" w:type="dxa"/>
            <w:hideMark/>
          </w:tcPr>
          <w:p w14:paraId="13CFA3F5"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1321 MNOK</w:t>
            </w:r>
          </w:p>
        </w:tc>
      </w:tr>
      <w:tr w:rsidR="00F04A33" w:rsidRPr="00C374FE" w14:paraId="2105C080" w14:textId="77777777" w:rsidTr="00C8238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3" w:type="dxa"/>
            <w:hideMark/>
          </w:tcPr>
          <w:p w14:paraId="48663AC5"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IKT-driftskostnader</w:t>
            </w:r>
          </w:p>
        </w:tc>
        <w:tc>
          <w:tcPr>
            <w:tcW w:w="1813" w:type="dxa"/>
            <w:hideMark/>
          </w:tcPr>
          <w:p w14:paraId="14E96B44"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827 MNOK</w:t>
            </w:r>
          </w:p>
        </w:tc>
        <w:tc>
          <w:tcPr>
            <w:tcW w:w="1814" w:type="dxa"/>
            <w:hideMark/>
          </w:tcPr>
          <w:p w14:paraId="59C4BF0E"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926 MNOK</w:t>
            </w:r>
          </w:p>
        </w:tc>
        <w:tc>
          <w:tcPr>
            <w:tcW w:w="1813" w:type="dxa"/>
            <w:hideMark/>
          </w:tcPr>
          <w:p w14:paraId="6BE2747E"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1158 MNOK</w:t>
            </w:r>
          </w:p>
        </w:tc>
        <w:tc>
          <w:tcPr>
            <w:tcW w:w="1814" w:type="dxa"/>
            <w:hideMark/>
          </w:tcPr>
          <w:p w14:paraId="699C0201"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3590 MNOK</w:t>
            </w:r>
          </w:p>
        </w:tc>
      </w:tr>
      <w:tr w:rsidR="00F21901" w:rsidRPr="00C374FE" w14:paraId="5FB065B6" w14:textId="77777777" w:rsidTr="00C8238C">
        <w:trPr>
          <w:trHeight w:val="2640"/>
        </w:trPr>
        <w:tc>
          <w:tcPr>
            <w:cnfStyle w:val="001000000000" w:firstRow="0" w:lastRow="0" w:firstColumn="1" w:lastColumn="0" w:oddVBand="0" w:evenVBand="0" w:oddHBand="0" w:evenHBand="0" w:firstRowFirstColumn="0" w:firstRowLastColumn="0" w:lastRowFirstColumn="0" w:lastRowLastColumn="0"/>
            <w:tcW w:w="1813" w:type="dxa"/>
            <w:hideMark/>
          </w:tcPr>
          <w:p w14:paraId="74B6A3B2"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Største pågående initiativer</w:t>
            </w:r>
          </w:p>
          <w:p w14:paraId="1DB2E285"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 </w:t>
            </w:r>
          </w:p>
          <w:p w14:paraId="72A8CFB8"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 </w:t>
            </w:r>
          </w:p>
          <w:p w14:paraId="5135CA04" w14:textId="77777777" w:rsidR="00F21901" w:rsidRPr="00C374FE" w:rsidRDefault="00F21901" w:rsidP="00C8238C">
            <w:pPr>
              <w:spacing w:after="0" w:line="18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3" w:type="dxa"/>
            <w:hideMark/>
          </w:tcPr>
          <w:p w14:paraId="1793E52E"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FRESK</w:t>
            </w:r>
          </w:p>
          <w:p w14:paraId="1FCBD481"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69A41494"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Investeringer i infrastruktur</w:t>
            </w:r>
          </w:p>
          <w:p w14:paraId="56B6690D"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2EE8F828"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Helhetlig informasjonssikkerhet</w:t>
            </w:r>
          </w:p>
          <w:p w14:paraId="3A84E79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4" w:type="dxa"/>
            <w:hideMark/>
          </w:tcPr>
          <w:p w14:paraId="17B5ED51"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Helseplattformen</w:t>
            </w:r>
          </w:p>
          <w:p w14:paraId="395E0542"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66FC7DB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Infrastruktur og sluttbrukerutstyr</w:t>
            </w:r>
          </w:p>
          <w:p w14:paraId="7F705715"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13C9ACE7"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 Midt-Norge Lab</w:t>
            </w:r>
          </w:p>
          <w:p w14:paraId="3AFADF87"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3" w:type="dxa"/>
            <w:hideMark/>
          </w:tcPr>
          <w:p w14:paraId="455E0E11"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LIBRA-SAP</w:t>
            </w:r>
          </w:p>
          <w:p w14:paraId="444E7BB7"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11ECF7A5"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Infrastruktur og sluttbrukerutstyr</w:t>
            </w:r>
          </w:p>
          <w:p w14:paraId="4AE53874"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56B386DE"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Innføring DIPS Arena</w:t>
            </w:r>
          </w:p>
          <w:p w14:paraId="4049CC7D"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4" w:type="dxa"/>
            <w:hideMark/>
          </w:tcPr>
          <w:p w14:paraId="6A36A914"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Helselogistikk og forberedelser til overgang</w:t>
            </w:r>
          </w:p>
          <w:p w14:paraId="4E016405"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2666E20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DIPS arena</w:t>
            </w:r>
          </w:p>
          <w:p w14:paraId="53FA8BBF"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radiologi og multimedia</w:t>
            </w:r>
          </w:p>
          <w:p w14:paraId="4DD010BA"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421E9074"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kurve og medikasjon</w:t>
            </w:r>
          </w:p>
          <w:p w14:paraId="299886A9"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5B72D709" w14:textId="77777777" w:rsidR="00F21901" w:rsidRPr="00C374FE" w:rsidRDefault="00F21901" w:rsidP="00C8238C">
            <w:pPr>
              <w:keepNext/>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Lab</w:t>
            </w:r>
          </w:p>
        </w:tc>
      </w:tr>
    </w:tbl>
    <w:p w14:paraId="4F4F78AF" w14:textId="75AACEE4" w:rsidR="00E37340" w:rsidRPr="00E1519F" w:rsidRDefault="00E37340" w:rsidP="00875E2F">
      <w:r w:rsidRPr="0089346D">
        <w:rPr>
          <w:i/>
          <w:iCs/>
        </w:rPr>
        <w:t>Tabell 1:</w:t>
      </w:r>
      <w:r w:rsidRPr="00E37340">
        <w:rPr>
          <w:i/>
          <w:iCs/>
        </w:rPr>
        <w:t xml:space="preserve"> </w:t>
      </w:r>
      <w:r w:rsidRPr="00AE60EE">
        <w:rPr>
          <w:i/>
          <w:iCs/>
        </w:rPr>
        <w:t>Nøkkeltall for regionale helseforetak 2021</w:t>
      </w:r>
    </w:p>
    <w:p w14:paraId="0C501423" w14:textId="77777777" w:rsidR="007A66A1" w:rsidRDefault="007A66A1" w:rsidP="00CD3270">
      <w:pPr>
        <w:pStyle w:val="Bildetekst"/>
      </w:pPr>
    </w:p>
    <w:p w14:paraId="155EB807" w14:textId="7B2DCF04" w:rsidR="00D86C95" w:rsidRDefault="00D86C95" w:rsidP="00FA3715">
      <w:pPr>
        <w:pStyle w:val="Overskrift2"/>
      </w:pPr>
      <w:bookmarkStart w:id="28" w:name="_Toc146784542"/>
      <w:r>
        <w:t xml:space="preserve">Kostnadsutvikling </w:t>
      </w:r>
      <w:r w:rsidR="002D73FC">
        <w:t>nasjonalt</w:t>
      </w:r>
      <w:bookmarkEnd w:id="28"/>
    </w:p>
    <w:p w14:paraId="74B38EF0" w14:textId="7BE03B25" w:rsidR="00356209" w:rsidRDefault="00356209" w:rsidP="40115BA0">
      <w:r w:rsidRPr="00356209">
        <w:t xml:space="preserve">De totale IKT-kostnadene </w:t>
      </w:r>
      <w:r w:rsidR="00D0153B">
        <w:t>til helseregionene og helseforvaltningen</w:t>
      </w:r>
      <w:r w:rsidR="001843FE">
        <w:t xml:space="preserve"> </w:t>
      </w:r>
      <w:r w:rsidRPr="00356209">
        <w:t xml:space="preserve">har </w:t>
      </w:r>
      <w:r w:rsidR="002C26A1">
        <w:t xml:space="preserve">i </w:t>
      </w:r>
      <w:r w:rsidR="00147F66">
        <w:t xml:space="preserve">gjennomsnitt </w:t>
      </w:r>
      <w:r w:rsidR="006416B6" w:rsidRPr="00356209">
        <w:t xml:space="preserve">økt med </w:t>
      </w:r>
      <w:r w:rsidRPr="00356209">
        <w:t xml:space="preserve">11,4% </w:t>
      </w:r>
      <w:r w:rsidR="006416B6">
        <w:t xml:space="preserve">årlig </w:t>
      </w:r>
      <w:r w:rsidRPr="00356209">
        <w:t>siden 2018</w:t>
      </w:r>
      <w:r>
        <w:t>.</w:t>
      </w:r>
      <w:r w:rsidR="00835968">
        <w:t xml:space="preserve"> Figuren nedenfor viser</w:t>
      </w:r>
      <w:r w:rsidR="008733C5">
        <w:t xml:space="preserve"> </w:t>
      </w:r>
      <w:r w:rsidR="00006A3E">
        <w:t xml:space="preserve">utviklingen av de totale IKT-kostnadene </w:t>
      </w:r>
      <w:r w:rsidR="004E7560">
        <w:t>finansiert av helseregionene og helseforvaltningen fra 2018-2021</w:t>
      </w:r>
      <w:r w:rsidR="002C3963">
        <w:t>.</w:t>
      </w:r>
    </w:p>
    <w:p w14:paraId="7C751927" w14:textId="77777777" w:rsidR="00E37340" w:rsidRDefault="00454002" w:rsidP="00E37340">
      <w:pPr>
        <w:keepNext/>
        <w:jc w:val="center"/>
      </w:pPr>
      <w:r>
        <w:rPr>
          <w:noProof/>
        </w:rPr>
        <w:drawing>
          <wp:inline distT="0" distB="0" distL="0" distR="0" wp14:anchorId="15C1DB24" wp14:editId="49B7F6B3">
            <wp:extent cx="5435765" cy="3871403"/>
            <wp:effectExtent l="0" t="0" r="0" b="0"/>
            <wp:docPr id="228" name="Bilde 13" descr="Søylediagram som viser utviklingen av totale IKT kostander for regionale helseforetak og sentral helseforvaltning mellom 2018 og 2021. Diagrammet viser økning år for å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e 13" descr="Søylediagram som viser utviklingen av totale IKT kostander for regionale helseforetak og sentral helseforvaltning mellom 2018 og 2021. Diagrammet viser økning år for år. "/>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7A489113-986E-3BC1-78E9-E9C7D8D8A6B9}"/>
                        </a:ext>
                      </a:extLst>
                    </a:blip>
                    <a:stretch>
                      <a:fillRect/>
                    </a:stretch>
                  </pic:blipFill>
                  <pic:spPr>
                    <a:xfrm>
                      <a:off x="0" y="0"/>
                      <a:ext cx="5435765" cy="3871403"/>
                    </a:xfrm>
                    <a:prstGeom prst="rect">
                      <a:avLst/>
                    </a:prstGeom>
                  </pic:spPr>
                </pic:pic>
              </a:graphicData>
            </a:graphic>
          </wp:inline>
        </w:drawing>
      </w:r>
    </w:p>
    <w:p w14:paraId="43897193" w14:textId="60DAACBB" w:rsidR="004E7560" w:rsidRDefault="00E37340"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3</w:t>
      </w:r>
      <w:r w:rsidR="00DC6F8E">
        <w:rPr>
          <w:noProof/>
        </w:rPr>
        <w:fldChar w:fldCharType="end"/>
      </w:r>
      <w:r>
        <w:t xml:space="preserve">: </w:t>
      </w:r>
      <w:r w:rsidR="006A58B2">
        <w:t>Utvikling av totale IKT-kostnader for RHF og helseforvaltningen 2018-2021</w:t>
      </w:r>
      <w:r w:rsidR="00B11279">
        <w:rPr>
          <w:rStyle w:val="Fotnotereferanse"/>
        </w:rPr>
        <w:footnoteReference w:id="6"/>
      </w:r>
    </w:p>
    <w:p w14:paraId="01A2C13E" w14:textId="3D292F53" w:rsidR="00033E76" w:rsidRDefault="00E60D0A" w:rsidP="00667644">
      <w:r>
        <w:t xml:space="preserve">De totale IKT-utgiftene </w:t>
      </w:r>
      <w:r w:rsidR="001C3F1D">
        <w:t xml:space="preserve">hadde en lavere </w:t>
      </w:r>
      <w:r w:rsidR="00103093">
        <w:t xml:space="preserve">økning </w:t>
      </w:r>
      <w:r w:rsidR="00394528">
        <w:t xml:space="preserve">i 2020 </w:t>
      </w:r>
      <w:r w:rsidR="00BF7A9D">
        <w:t xml:space="preserve">grunnet en noe lavere aktivitet på IKT-området </w:t>
      </w:r>
      <w:r w:rsidR="00394528">
        <w:t xml:space="preserve">som følge av </w:t>
      </w:r>
      <w:r w:rsidR="004458BA">
        <w:t>k</w:t>
      </w:r>
      <w:r w:rsidR="00394528">
        <w:t>oronapandemien</w:t>
      </w:r>
      <w:r w:rsidR="00BF7A9D">
        <w:t xml:space="preserve">. IKT-aktiviteten </w:t>
      </w:r>
      <w:r w:rsidR="00D9392F">
        <w:t xml:space="preserve">i sektoren </w:t>
      </w:r>
      <w:r w:rsidR="00BF7A9D">
        <w:t>ser ut til å ha</w:t>
      </w:r>
      <w:r w:rsidR="003A7BEB">
        <w:t xml:space="preserve"> tatt seg opp igjen i 2021.</w:t>
      </w:r>
      <w:r w:rsidR="00033E76">
        <w:t xml:space="preserve"> </w:t>
      </w:r>
    </w:p>
    <w:p w14:paraId="422F01DD" w14:textId="12110652" w:rsidR="00DA7EE8" w:rsidRDefault="00C953F0" w:rsidP="00667644">
      <w:r>
        <w:t>D</w:t>
      </w:r>
      <w:r w:rsidR="00F133B4">
        <w:t xml:space="preserve">et </w:t>
      </w:r>
      <w:r>
        <w:t xml:space="preserve">er </w:t>
      </w:r>
      <w:r w:rsidR="00F133B4">
        <w:t xml:space="preserve">viktig å understreke at </w:t>
      </w:r>
      <w:r w:rsidR="00F07E73">
        <w:t>finansiering</w:t>
      </w:r>
      <w:r w:rsidR="00F133B4">
        <w:t>en</w:t>
      </w:r>
      <w:r w:rsidR="00BA0DD6">
        <w:t xml:space="preserve"> </w:t>
      </w:r>
      <w:r w:rsidR="00F07E73">
        <w:t>av</w:t>
      </w:r>
      <w:r w:rsidR="00131A95">
        <w:t xml:space="preserve"> totale IKT-utgifte</w:t>
      </w:r>
      <w:r w:rsidR="00BA0DD6">
        <w:t>r for sektoren</w:t>
      </w:r>
      <w:r w:rsidR="00E851B3">
        <w:t xml:space="preserve">, som vist i figur </w:t>
      </w:r>
      <w:r w:rsidR="0084123F">
        <w:t>3</w:t>
      </w:r>
      <w:r w:rsidR="00E851B3">
        <w:t>,</w:t>
      </w:r>
      <w:r w:rsidR="00131A95">
        <w:t xml:space="preserve"> </w:t>
      </w:r>
      <w:r w:rsidR="00F133B4">
        <w:t xml:space="preserve">ikke nødvendigvis gir et godt bilde av </w:t>
      </w:r>
      <w:r w:rsidR="00AD056F">
        <w:t>hvor IKT-</w:t>
      </w:r>
      <w:r w:rsidR="001433A9">
        <w:t>arbeidet</w:t>
      </w:r>
      <w:r w:rsidR="00AD056F">
        <w:t xml:space="preserve"> </w:t>
      </w:r>
      <w:r w:rsidR="0046075A">
        <w:t xml:space="preserve">faktisk </w:t>
      </w:r>
      <w:r w:rsidR="00AD056F">
        <w:t>ut</w:t>
      </w:r>
      <w:r w:rsidR="00285201">
        <w:t>før</w:t>
      </w:r>
      <w:r w:rsidR="00AD056F">
        <w:t>es</w:t>
      </w:r>
      <w:r w:rsidR="00CD0738">
        <w:t>. D</w:t>
      </w:r>
      <w:r w:rsidR="00D26797">
        <w:t>eler av helseregionenes IKT-</w:t>
      </w:r>
      <w:r w:rsidR="00AA0899">
        <w:t>finansier</w:t>
      </w:r>
      <w:r w:rsidR="00D26797">
        <w:t xml:space="preserve">ing dekker </w:t>
      </w:r>
      <w:r w:rsidR="00CD0738">
        <w:t xml:space="preserve">også </w:t>
      </w:r>
      <w:r w:rsidR="00D26797">
        <w:t xml:space="preserve">en andel av de </w:t>
      </w:r>
      <w:r w:rsidR="00AA0899">
        <w:t>nasjonale IKT</w:t>
      </w:r>
      <w:r w:rsidR="00026EE3">
        <w:t>-initiativ</w:t>
      </w:r>
      <w:r w:rsidR="003C38A0">
        <w:t>ene</w:t>
      </w:r>
      <w:r w:rsidR="0078037B">
        <w:t>,</w:t>
      </w:r>
      <w:r w:rsidR="00026EE3">
        <w:t xml:space="preserve"> </w:t>
      </w:r>
      <w:r w:rsidR="00C6759E">
        <w:t xml:space="preserve">som </w:t>
      </w:r>
      <w:r w:rsidR="003C38A0">
        <w:t xml:space="preserve">drives </w:t>
      </w:r>
      <w:r w:rsidR="005E402D">
        <w:t xml:space="preserve">og utføres </w:t>
      </w:r>
      <w:r w:rsidR="004621D7">
        <w:t xml:space="preserve">av </w:t>
      </w:r>
      <w:r w:rsidR="00356C6C">
        <w:t>de nasjonale aktørene</w:t>
      </w:r>
      <w:r w:rsidR="003C38A0">
        <w:t xml:space="preserve">. </w:t>
      </w:r>
      <w:r w:rsidR="00521862">
        <w:t>Disse tallene må derfor sees i sammenheng med IKT-leveranse</w:t>
      </w:r>
      <w:r w:rsidR="000C7664">
        <w:t xml:space="preserve">r som leveres </w:t>
      </w:r>
      <w:r w:rsidR="00521862">
        <w:t>mellom aktøre</w:t>
      </w:r>
      <w:r w:rsidR="00A162DE">
        <w:t>r i sektor</w:t>
      </w:r>
      <w:r w:rsidR="000C7664">
        <w:t>, for eksempel Norsk Helsenetts leveranser innen digital arbeidsplass til andre nasjonale aktører</w:t>
      </w:r>
      <w:r w:rsidR="00521862">
        <w:t xml:space="preserve">. </w:t>
      </w:r>
      <w:r w:rsidR="004471D9">
        <w:t xml:space="preserve">Tabellen </w:t>
      </w:r>
      <w:r w:rsidR="00667644">
        <w:t xml:space="preserve">nedenfor viser </w:t>
      </w:r>
      <w:r w:rsidR="000C7664">
        <w:t>IKT-leveranser og tjenester levert av</w:t>
      </w:r>
      <w:r w:rsidR="004621D7">
        <w:t xml:space="preserve"> </w:t>
      </w:r>
      <w:r w:rsidR="00CE6F6E">
        <w:t xml:space="preserve">Direktoratet for </w:t>
      </w:r>
      <w:r w:rsidR="00860D59">
        <w:t>e</w:t>
      </w:r>
      <w:r w:rsidR="00667644">
        <w:t xml:space="preserve">-helse, NHN, HDO og Pasientreiser til andre </w:t>
      </w:r>
      <w:r w:rsidR="000C7664">
        <w:t xml:space="preserve">aktører </w:t>
      </w:r>
      <w:r w:rsidR="00667644">
        <w:t>i sektoren</w:t>
      </w:r>
      <w:r w:rsidR="007845EA">
        <w:t>,</w:t>
      </w:r>
      <w:r w:rsidR="00667644">
        <w:t xml:space="preserve"> og hvor mye finansiering</w:t>
      </w:r>
      <w:r w:rsidR="000C7664">
        <w:t xml:space="preserve"> disse nasjonale aktørene</w:t>
      </w:r>
      <w:r w:rsidR="00667644">
        <w:t xml:space="preserve"> mottok i 2021 for </w:t>
      </w:r>
      <w:r w:rsidR="000C7664">
        <w:t>disse leveransene</w:t>
      </w:r>
      <w:r w:rsidR="00667644">
        <w:t>.</w:t>
      </w:r>
      <w:r w:rsidR="00346473">
        <w:t xml:space="preserve"> </w:t>
      </w:r>
    </w:p>
    <w:p w14:paraId="3B894B56" w14:textId="77777777" w:rsidR="009D65E8" w:rsidRDefault="009D65E8" w:rsidP="00667644"/>
    <w:p w14:paraId="1FBF7278" w14:textId="77777777" w:rsidR="00C1130C" w:rsidRDefault="00C1130C" w:rsidP="00CD3270">
      <w:pPr>
        <w:pStyle w:val="Bildetekst"/>
      </w:pPr>
    </w:p>
    <w:tbl>
      <w:tblPr>
        <w:tblStyle w:val="Rutenettabell4"/>
        <w:tblW w:w="0" w:type="auto"/>
        <w:tblLayout w:type="fixed"/>
        <w:tblLook w:val="04A0" w:firstRow="1" w:lastRow="0" w:firstColumn="1" w:lastColumn="0" w:noHBand="0" w:noVBand="1"/>
      </w:tblPr>
      <w:tblGrid>
        <w:gridCol w:w="1555"/>
        <w:gridCol w:w="2551"/>
        <w:gridCol w:w="1276"/>
        <w:gridCol w:w="1417"/>
        <w:gridCol w:w="1560"/>
      </w:tblGrid>
      <w:tr w:rsidR="00B1282C" w:rsidRPr="00DF1C63" w14:paraId="00D80D30" w14:textId="77777777" w:rsidTr="00647A5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1C357B" w14:textId="77777777" w:rsidR="00DF1C63" w:rsidRPr="00DF1C63" w:rsidRDefault="00DF1C63" w:rsidP="00DF1C63">
            <w:pPr>
              <w:tabs>
                <w:tab w:val="clear" w:pos="357"/>
              </w:tabs>
              <w:spacing w:after="0" w:line="240" w:lineRule="auto"/>
              <w:rPr>
                <w:rFonts w:ascii="Calibri" w:eastAsia="Times New Roman" w:hAnsi="Calibri" w:cs="Calibri"/>
                <w:color w:val="FFFFFF"/>
                <w:lang w:eastAsia="nb-NO"/>
              </w:rPr>
            </w:pPr>
            <w:bookmarkStart w:id="29" w:name="_Hlk146699095"/>
            <w:r w:rsidRPr="00DF1C63">
              <w:rPr>
                <w:rFonts w:ascii="Calibri" w:eastAsia="Times New Roman" w:hAnsi="Calibri" w:cs="Calibri"/>
                <w:color w:val="FFFFFF"/>
                <w:lang w:eastAsia="nb-NO"/>
              </w:rPr>
              <w:t>Leverandør</w:t>
            </w:r>
          </w:p>
        </w:tc>
        <w:tc>
          <w:tcPr>
            <w:tcW w:w="2551" w:type="dxa"/>
            <w:noWrap/>
            <w:hideMark/>
          </w:tcPr>
          <w:p w14:paraId="383C86E7"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Leveranseansvar</w:t>
            </w:r>
          </w:p>
        </w:tc>
        <w:tc>
          <w:tcPr>
            <w:tcW w:w="1276" w:type="dxa"/>
            <w:noWrap/>
            <w:hideMark/>
          </w:tcPr>
          <w:p w14:paraId="05100FE2"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Kjøper</w:t>
            </w:r>
          </w:p>
        </w:tc>
        <w:tc>
          <w:tcPr>
            <w:tcW w:w="1417" w:type="dxa"/>
            <w:noWrap/>
            <w:hideMark/>
          </w:tcPr>
          <w:p w14:paraId="543DFAE9"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Beløp 2021</w:t>
            </w:r>
          </w:p>
        </w:tc>
        <w:tc>
          <w:tcPr>
            <w:tcW w:w="1560" w:type="dxa"/>
            <w:noWrap/>
            <w:hideMark/>
          </w:tcPr>
          <w:p w14:paraId="68CFA41E"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Endring 2020-2021</w:t>
            </w:r>
          </w:p>
        </w:tc>
      </w:tr>
      <w:tr w:rsidR="00DF1C63" w:rsidRPr="00DF1C63" w14:paraId="6633B51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noWrap/>
            <w:hideMark/>
          </w:tcPr>
          <w:p w14:paraId="7B7E8855" w14:textId="77777777" w:rsidR="00DF1C63" w:rsidRPr="00A26A83" w:rsidRDefault="00DF1C63" w:rsidP="000F69DF">
            <w:pPr>
              <w:rPr>
                <w:rFonts w:ascii="Calibri" w:hAnsi="Calibri" w:cs="Calibri"/>
              </w:rPr>
            </w:pPr>
            <w:r w:rsidRPr="00A26A83">
              <w:rPr>
                <w:rFonts w:ascii="Calibri" w:hAnsi="Calibri" w:cs="Calibri"/>
              </w:rPr>
              <w:t>E-helse</w:t>
            </w:r>
          </w:p>
        </w:tc>
        <w:tc>
          <w:tcPr>
            <w:tcW w:w="2551" w:type="dxa"/>
            <w:vMerge w:val="restart"/>
            <w:shd w:val="clear" w:color="auto" w:fill="auto"/>
            <w:noWrap/>
            <w:hideMark/>
          </w:tcPr>
          <w:p w14:paraId="7CA139EB" w14:textId="09539A53" w:rsidR="00C871D1" w:rsidRDefault="00DF1C63"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nb-NO"/>
              </w:rPr>
            </w:pPr>
            <w:r w:rsidRPr="00DF1C63">
              <w:rPr>
                <w:rFonts w:ascii="Calibri" w:hAnsi="Calibri" w:cs="Calibri"/>
                <w:lang w:eastAsia="nb-NO"/>
              </w:rPr>
              <w:t>Applikasjonsutvikling</w:t>
            </w:r>
          </w:p>
          <w:p w14:paraId="430E1A60" w14:textId="77777777" w:rsidR="00560EDB" w:rsidRPr="00DF1C63" w:rsidRDefault="00560EDB"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6C392DC" w14:textId="77777777" w:rsidR="00DF1C63" w:rsidRPr="00DF1C63" w:rsidRDefault="00DF1C63"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F1C63">
              <w:rPr>
                <w:rFonts w:ascii="Calibri" w:hAnsi="Calibri" w:cs="Calibri"/>
                <w:lang w:eastAsia="nb-NO"/>
              </w:rPr>
              <w:t>Applikasjonsforvaltning</w:t>
            </w:r>
          </w:p>
        </w:tc>
        <w:tc>
          <w:tcPr>
            <w:tcW w:w="1276" w:type="dxa"/>
            <w:noWrap/>
            <w:hideMark/>
          </w:tcPr>
          <w:p w14:paraId="67E5C9A0"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7574F8CE"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29 MNOK</w:t>
            </w:r>
          </w:p>
        </w:tc>
        <w:tc>
          <w:tcPr>
            <w:tcW w:w="1560" w:type="dxa"/>
            <w:noWrap/>
            <w:hideMark/>
          </w:tcPr>
          <w:p w14:paraId="2379F671"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31 %</w:t>
            </w:r>
          </w:p>
        </w:tc>
      </w:tr>
      <w:tr w:rsidR="00DF1C63" w:rsidRPr="00DF1C63" w14:paraId="27C4E026"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C3F7678"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39B0C711"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4DD1991D"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7CEBC160"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 MNOK</w:t>
            </w:r>
          </w:p>
        </w:tc>
        <w:tc>
          <w:tcPr>
            <w:tcW w:w="1560" w:type="dxa"/>
            <w:noWrap/>
            <w:hideMark/>
          </w:tcPr>
          <w:p w14:paraId="7B6689E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-64 %</w:t>
            </w:r>
          </w:p>
        </w:tc>
      </w:tr>
      <w:tr w:rsidR="00DF1C63" w:rsidRPr="00DF1C63" w14:paraId="3DFF8043" w14:textId="77777777" w:rsidTr="00647A5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6D7D012" w14:textId="77777777" w:rsidR="00DF1C63" w:rsidRPr="00DF1C63" w:rsidRDefault="00DF1C63" w:rsidP="00DF1C63">
            <w:pPr>
              <w:tabs>
                <w:tab w:val="clear" w:pos="357"/>
              </w:tabs>
              <w:spacing w:after="0" w:line="240" w:lineRule="auto"/>
              <w:rPr>
                <w:rFonts w:ascii="Calibri" w:eastAsia="Times New Roman" w:hAnsi="Calibri" w:cs="Calibri"/>
                <w:color w:val="FF0000"/>
                <w:lang w:eastAsia="nb-NO"/>
              </w:rPr>
            </w:pPr>
          </w:p>
        </w:tc>
        <w:tc>
          <w:tcPr>
            <w:tcW w:w="2551" w:type="dxa"/>
            <w:vMerge/>
            <w:shd w:val="clear" w:color="auto" w:fill="auto"/>
            <w:noWrap/>
            <w:hideMark/>
          </w:tcPr>
          <w:p w14:paraId="60561A3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62382AA9"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1FC9733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8 MNOK</w:t>
            </w:r>
          </w:p>
        </w:tc>
        <w:tc>
          <w:tcPr>
            <w:tcW w:w="1560" w:type="dxa"/>
            <w:noWrap/>
            <w:hideMark/>
          </w:tcPr>
          <w:p w14:paraId="0E557B9E"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478 %</w:t>
            </w:r>
          </w:p>
        </w:tc>
      </w:tr>
      <w:tr w:rsidR="00DF1C63" w:rsidRPr="00DF1C63" w14:paraId="587D0722"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0143E286"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2455D93E"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0C7BE51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0810927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7 MNOK</w:t>
            </w:r>
          </w:p>
        </w:tc>
        <w:tc>
          <w:tcPr>
            <w:tcW w:w="1560" w:type="dxa"/>
            <w:noWrap/>
            <w:hideMark/>
          </w:tcPr>
          <w:p w14:paraId="7ECEA42B"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458 %</w:t>
            </w:r>
          </w:p>
        </w:tc>
      </w:tr>
      <w:tr w:rsidR="00DF1C63" w:rsidRPr="00DF1C63" w14:paraId="19084726"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F878F2C"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1E8C7370"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0D354B1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Totalt</w:t>
            </w:r>
          </w:p>
        </w:tc>
        <w:tc>
          <w:tcPr>
            <w:tcW w:w="1417" w:type="dxa"/>
            <w:noWrap/>
            <w:hideMark/>
          </w:tcPr>
          <w:p w14:paraId="508F2638"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54 MNOK</w:t>
            </w:r>
          </w:p>
        </w:tc>
        <w:tc>
          <w:tcPr>
            <w:tcW w:w="1560" w:type="dxa"/>
            <w:noWrap/>
            <w:hideMark/>
          </w:tcPr>
          <w:p w14:paraId="1EBA2343"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24 %</w:t>
            </w:r>
          </w:p>
        </w:tc>
      </w:tr>
      <w:bookmarkEnd w:id="29"/>
      <w:tr w:rsidR="00DF1C63" w:rsidRPr="00DF1C63" w14:paraId="11C33E1D"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7FAF371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NHN</w:t>
            </w:r>
          </w:p>
          <w:p w14:paraId="7FE1AEF7"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00247B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42863FC6"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3349784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2498247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BBBDFEA"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18A096B"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57983FF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06DB98F7"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087F49F3" w14:textId="77777777" w:rsidR="00C871D1"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p w14:paraId="3187FD38" w14:textId="70C31EBE" w:rsidR="00DF1C63" w:rsidRPr="00B1282C"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B1282C">
              <w:rPr>
                <w:rFonts w:ascii="Calibri" w:eastAsia="Calibri" w:hAnsi="Calibri" w:cs="Times New Roman"/>
                <w:lang w:val="nn-NO" w:eastAsia="nb-NO"/>
              </w:rPr>
              <w:t>Tele- og datanettverk</w:t>
            </w:r>
          </w:p>
          <w:p w14:paraId="269F69F4" w14:textId="77777777" w:rsidR="00C871D1" w:rsidRPr="00B1282C"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2423D80B" w14:textId="77777777" w:rsidR="00DF1C63" w:rsidRPr="00B1282C"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B1282C">
              <w:rPr>
                <w:rFonts w:ascii="Calibri" w:eastAsia="Calibri" w:hAnsi="Calibri" w:cs="Times New Roman"/>
                <w:lang w:val="nn-NO" w:eastAsia="nb-NO"/>
              </w:rPr>
              <w:t>IKT-</w:t>
            </w:r>
            <w:proofErr w:type="spellStart"/>
            <w:r w:rsidRPr="00B1282C">
              <w:rPr>
                <w:rFonts w:ascii="Calibri" w:eastAsia="Calibri" w:hAnsi="Calibri" w:cs="Times New Roman"/>
                <w:lang w:val="nn-NO" w:eastAsia="nb-NO"/>
              </w:rPr>
              <w:t>brukerstøtte</w:t>
            </w:r>
            <w:proofErr w:type="spellEnd"/>
          </w:p>
          <w:p w14:paraId="73D0BE7B" w14:textId="77777777" w:rsidR="00C871D1" w:rsidRPr="00B1282C"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eastAsia="nb-NO"/>
              </w:rPr>
            </w:pPr>
          </w:p>
          <w:p w14:paraId="122A3DF9" w14:textId="0DD3076E"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F1C63">
              <w:rPr>
                <w:rFonts w:ascii="Calibri" w:eastAsia="Calibri" w:hAnsi="Calibri" w:cs="Times New Roman"/>
                <w:lang w:eastAsia="nb-NO"/>
              </w:rPr>
              <w:t>Applikasjonsutvikling</w:t>
            </w:r>
          </w:p>
          <w:p w14:paraId="79D91CFC" w14:textId="77777777" w:rsidR="00C871D1"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p w14:paraId="411AF675" w14:textId="6771B9B5"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F1C63">
              <w:rPr>
                <w:rFonts w:ascii="Calibri" w:eastAsia="Calibri" w:hAnsi="Calibri" w:cs="Times New Roman"/>
                <w:lang w:eastAsia="nb-NO"/>
              </w:rPr>
              <w:t>Applikasjonsforvaltning </w:t>
            </w:r>
          </w:p>
        </w:tc>
        <w:tc>
          <w:tcPr>
            <w:tcW w:w="1276" w:type="dxa"/>
            <w:noWrap/>
            <w:hideMark/>
          </w:tcPr>
          <w:p w14:paraId="426DBAB9"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06A12B5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109 MNOK</w:t>
            </w:r>
          </w:p>
        </w:tc>
        <w:tc>
          <w:tcPr>
            <w:tcW w:w="1560" w:type="dxa"/>
            <w:noWrap/>
            <w:hideMark/>
          </w:tcPr>
          <w:p w14:paraId="7008842A"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-5 %</w:t>
            </w:r>
          </w:p>
        </w:tc>
      </w:tr>
      <w:tr w:rsidR="00B7292D" w:rsidRPr="00DF1C63" w14:paraId="54A3F0E6"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A32A5F2"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414EC5C"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41BC6F2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7500C39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43 MNOK</w:t>
            </w:r>
          </w:p>
        </w:tc>
        <w:tc>
          <w:tcPr>
            <w:tcW w:w="1560" w:type="dxa"/>
            <w:noWrap/>
            <w:hideMark/>
          </w:tcPr>
          <w:p w14:paraId="395C804D"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12 %</w:t>
            </w:r>
          </w:p>
        </w:tc>
      </w:tr>
      <w:tr w:rsidR="00DF1C63" w:rsidRPr="00DF1C63" w14:paraId="41E69547" w14:textId="77777777" w:rsidTr="00647A54">
        <w:trPr>
          <w:trHeight w:val="64"/>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487437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4352C17"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76E936B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6BE5B5F7"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28 MNOK</w:t>
            </w:r>
          </w:p>
        </w:tc>
        <w:tc>
          <w:tcPr>
            <w:tcW w:w="1560" w:type="dxa"/>
            <w:noWrap/>
            <w:hideMark/>
          </w:tcPr>
          <w:p w14:paraId="6682C5AE"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-4 %</w:t>
            </w:r>
          </w:p>
        </w:tc>
      </w:tr>
      <w:tr w:rsidR="00B7292D" w:rsidRPr="00DF1C63" w14:paraId="5F22B63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5F9A24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4D45830"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3147F8B6"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311D3EB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29 MNOK</w:t>
            </w:r>
          </w:p>
        </w:tc>
        <w:tc>
          <w:tcPr>
            <w:tcW w:w="1560" w:type="dxa"/>
            <w:noWrap/>
            <w:hideMark/>
          </w:tcPr>
          <w:p w14:paraId="49FB3809"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-5 %</w:t>
            </w:r>
          </w:p>
        </w:tc>
      </w:tr>
      <w:tr w:rsidR="00DF1C63" w:rsidRPr="00DF1C63" w14:paraId="287A572F"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339EDA2"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05E47ED"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7BFA3466"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Pasientreiser</w:t>
            </w:r>
          </w:p>
        </w:tc>
        <w:tc>
          <w:tcPr>
            <w:tcW w:w="1417" w:type="dxa"/>
            <w:noWrap/>
            <w:hideMark/>
          </w:tcPr>
          <w:p w14:paraId="48B91D1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35 MNOK</w:t>
            </w:r>
          </w:p>
        </w:tc>
        <w:tc>
          <w:tcPr>
            <w:tcW w:w="1560" w:type="dxa"/>
            <w:noWrap/>
            <w:hideMark/>
          </w:tcPr>
          <w:p w14:paraId="009D2AA9"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-3 %</w:t>
            </w:r>
          </w:p>
        </w:tc>
      </w:tr>
      <w:tr w:rsidR="00B7292D" w:rsidRPr="00DF1C63" w14:paraId="4A278460"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86F6BFB"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58E739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24F4F2DF"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 xml:space="preserve">E-helse </w:t>
            </w:r>
          </w:p>
        </w:tc>
        <w:tc>
          <w:tcPr>
            <w:tcW w:w="1417" w:type="dxa"/>
            <w:noWrap/>
            <w:hideMark/>
          </w:tcPr>
          <w:p w14:paraId="6416236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413 MNOK</w:t>
            </w:r>
          </w:p>
        </w:tc>
        <w:tc>
          <w:tcPr>
            <w:tcW w:w="1560" w:type="dxa"/>
            <w:noWrap/>
            <w:hideMark/>
          </w:tcPr>
          <w:p w14:paraId="405866A8"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27 %</w:t>
            </w:r>
          </w:p>
        </w:tc>
      </w:tr>
      <w:tr w:rsidR="00DF1C63" w:rsidRPr="00DF1C63" w14:paraId="3E6374F0"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C4886D5"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05698D39"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3D5B704A"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roofErr w:type="spellStart"/>
            <w:r w:rsidRPr="00DF1C63">
              <w:rPr>
                <w:rFonts w:ascii="Calibri" w:eastAsia="Times New Roman" w:hAnsi="Calibri" w:cs="Calibri"/>
                <w:color w:val="000000"/>
                <w:lang w:eastAsia="nb-NO"/>
              </w:rPr>
              <w:t>Helsedir</w:t>
            </w:r>
            <w:proofErr w:type="spellEnd"/>
            <w:r w:rsidRPr="00DF1C63">
              <w:rPr>
                <w:rFonts w:ascii="Calibri" w:eastAsia="Times New Roman" w:hAnsi="Calibri" w:cs="Calibri"/>
                <w:color w:val="000000"/>
                <w:lang w:eastAsia="nb-NO"/>
              </w:rPr>
              <w:t>.</w:t>
            </w:r>
          </w:p>
        </w:tc>
        <w:tc>
          <w:tcPr>
            <w:tcW w:w="1417" w:type="dxa"/>
            <w:noWrap/>
            <w:hideMark/>
          </w:tcPr>
          <w:p w14:paraId="77EFA3A4"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182 MNOK</w:t>
            </w:r>
          </w:p>
        </w:tc>
        <w:tc>
          <w:tcPr>
            <w:tcW w:w="1560" w:type="dxa"/>
            <w:noWrap/>
            <w:hideMark/>
          </w:tcPr>
          <w:p w14:paraId="3F65C5D6"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92 %</w:t>
            </w:r>
          </w:p>
        </w:tc>
      </w:tr>
      <w:tr w:rsidR="00B7292D" w:rsidRPr="00DF1C63" w14:paraId="6B17A1AC"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889FEFF"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1082E0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21DA1DD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FHI</w:t>
            </w:r>
          </w:p>
        </w:tc>
        <w:tc>
          <w:tcPr>
            <w:tcW w:w="1417" w:type="dxa"/>
            <w:noWrap/>
            <w:hideMark/>
          </w:tcPr>
          <w:p w14:paraId="47B727B4"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162 MNOK</w:t>
            </w:r>
          </w:p>
        </w:tc>
        <w:tc>
          <w:tcPr>
            <w:tcW w:w="1560" w:type="dxa"/>
            <w:noWrap/>
            <w:hideMark/>
          </w:tcPr>
          <w:p w14:paraId="587B0E7D"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29 %</w:t>
            </w:r>
          </w:p>
        </w:tc>
      </w:tr>
      <w:tr w:rsidR="00DF1C63" w:rsidRPr="00DF1C63" w14:paraId="449121C3"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ACC7A7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18346C1"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643E290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Kommuner</w:t>
            </w:r>
          </w:p>
        </w:tc>
        <w:tc>
          <w:tcPr>
            <w:tcW w:w="1417" w:type="dxa"/>
            <w:noWrap/>
            <w:hideMark/>
          </w:tcPr>
          <w:p w14:paraId="3FB83C32"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105 MNOK</w:t>
            </w:r>
          </w:p>
        </w:tc>
        <w:tc>
          <w:tcPr>
            <w:tcW w:w="1560" w:type="dxa"/>
            <w:noWrap/>
            <w:hideMark/>
          </w:tcPr>
          <w:p w14:paraId="19EA176B"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22 %</w:t>
            </w:r>
          </w:p>
        </w:tc>
      </w:tr>
      <w:tr w:rsidR="00B7292D" w:rsidRPr="00DF1C63" w14:paraId="4A178D67"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EC9110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29F158E"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3C0AC486"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04221DA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1 107 MNOK</w:t>
            </w:r>
          </w:p>
        </w:tc>
        <w:tc>
          <w:tcPr>
            <w:tcW w:w="1560" w:type="dxa"/>
            <w:noWrap/>
            <w:hideMark/>
          </w:tcPr>
          <w:p w14:paraId="2BD84265"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23 %</w:t>
            </w:r>
          </w:p>
        </w:tc>
      </w:tr>
      <w:tr w:rsidR="00DF1C63" w:rsidRPr="00DF1C63" w14:paraId="28B956CD"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6F0E730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HDO</w:t>
            </w:r>
          </w:p>
          <w:p w14:paraId="185F514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BBE995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A0E6CEF"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675F91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46E1F9B1"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6634CB52"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Tele- og datanettverk</w:t>
            </w:r>
          </w:p>
          <w:p w14:paraId="5EC84A8C"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627F4A76"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Applikasjonsutvikling</w:t>
            </w:r>
          </w:p>
          <w:p w14:paraId="74E7FCF9"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043EC488" w14:textId="35B1E128"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Applikasjonsforvaltning </w:t>
            </w:r>
          </w:p>
        </w:tc>
        <w:tc>
          <w:tcPr>
            <w:tcW w:w="1276" w:type="dxa"/>
            <w:noWrap/>
            <w:hideMark/>
          </w:tcPr>
          <w:p w14:paraId="7706486E"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4715988D"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57 MNOK</w:t>
            </w:r>
          </w:p>
        </w:tc>
        <w:tc>
          <w:tcPr>
            <w:tcW w:w="1560" w:type="dxa"/>
            <w:noWrap/>
            <w:hideMark/>
          </w:tcPr>
          <w:p w14:paraId="228A24FA"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-10 %</w:t>
            </w:r>
          </w:p>
        </w:tc>
      </w:tr>
      <w:tr w:rsidR="00B7292D" w:rsidRPr="00DF1C63" w14:paraId="3120B1DB"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943B0FD"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4E9D4CA"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7995456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6E93D86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26 MNOK</w:t>
            </w:r>
          </w:p>
        </w:tc>
        <w:tc>
          <w:tcPr>
            <w:tcW w:w="1560" w:type="dxa"/>
            <w:noWrap/>
            <w:hideMark/>
          </w:tcPr>
          <w:p w14:paraId="38E1E7EC"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-10 %</w:t>
            </w:r>
          </w:p>
        </w:tc>
      </w:tr>
      <w:tr w:rsidR="00DF1C63" w:rsidRPr="00DF1C63" w14:paraId="2C120280"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AF15325"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70FA468"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3E230E4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61E6EA1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25 MNOK</w:t>
            </w:r>
          </w:p>
        </w:tc>
        <w:tc>
          <w:tcPr>
            <w:tcW w:w="1560" w:type="dxa"/>
            <w:noWrap/>
            <w:hideMark/>
          </w:tcPr>
          <w:p w14:paraId="72AE842F"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-11 %</w:t>
            </w:r>
          </w:p>
        </w:tc>
      </w:tr>
      <w:tr w:rsidR="00B7292D" w:rsidRPr="00DF1C63" w14:paraId="6BC5789D"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9F6B30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83FEFAA"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67D9FC7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30B815F0"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25 MNOK</w:t>
            </w:r>
          </w:p>
        </w:tc>
        <w:tc>
          <w:tcPr>
            <w:tcW w:w="1560" w:type="dxa"/>
            <w:noWrap/>
            <w:hideMark/>
          </w:tcPr>
          <w:p w14:paraId="212E5974"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-13 %</w:t>
            </w:r>
          </w:p>
        </w:tc>
      </w:tr>
      <w:tr w:rsidR="00DF1C63" w:rsidRPr="00DF1C63" w14:paraId="5E5A2233"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197C933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B292B3A"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556C4662"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 xml:space="preserve">Kommuner </w:t>
            </w:r>
          </w:p>
        </w:tc>
        <w:tc>
          <w:tcPr>
            <w:tcW w:w="1417" w:type="dxa"/>
            <w:noWrap/>
            <w:hideMark/>
          </w:tcPr>
          <w:p w14:paraId="35D4F02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91 MNOK</w:t>
            </w:r>
          </w:p>
        </w:tc>
        <w:tc>
          <w:tcPr>
            <w:tcW w:w="1560" w:type="dxa"/>
            <w:noWrap/>
            <w:hideMark/>
          </w:tcPr>
          <w:p w14:paraId="450EA84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3 %</w:t>
            </w:r>
          </w:p>
        </w:tc>
      </w:tr>
      <w:tr w:rsidR="00B7292D" w:rsidRPr="00DF1C63" w14:paraId="33C256C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2DEF52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7E6F2E28"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0A4AAAB2"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6D83335F"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224 MNOK</w:t>
            </w:r>
          </w:p>
        </w:tc>
        <w:tc>
          <w:tcPr>
            <w:tcW w:w="1560" w:type="dxa"/>
            <w:noWrap/>
            <w:hideMark/>
          </w:tcPr>
          <w:p w14:paraId="5D56B301"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eastAsia="nb-NO"/>
              </w:rPr>
            </w:pPr>
            <w:r w:rsidRPr="00DF1C63">
              <w:rPr>
                <w:rFonts w:ascii="Calibri" w:eastAsia="Times New Roman" w:hAnsi="Calibri" w:cs="Calibri"/>
                <w:b/>
                <w:bCs/>
                <w:color w:val="FF0000"/>
                <w:lang w:eastAsia="nb-NO"/>
              </w:rPr>
              <w:t>-5 %</w:t>
            </w:r>
          </w:p>
        </w:tc>
      </w:tr>
      <w:tr w:rsidR="00DF1C63" w:rsidRPr="00DF1C63" w14:paraId="1CD88C1A"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36A514F1"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Pasientreiser</w:t>
            </w:r>
          </w:p>
          <w:p w14:paraId="762128F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12D1CD0"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6AB7414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35072C0"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104EF270"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Tele- og datanettverk</w:t>
            </w:r>
          </w:p>
          <w:p w14:paraId="1E1B53D8"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7DA2BF37"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Applikasjonsutvikling</w:t>
            </w:r>
          </w:p>
          <w:p w14:paraId="678E94E4"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63F2EF07"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Applikasjonsforvaltning</w:t>
            </w:r>
          </w:p>
        </w:tc>
        <w:tc>
          <w:tcPr>
            <w:tcW w:w="1276" w:type="dxa"/>
            <w:noWrap/>
            <w:hideMark/>
          </w:tcPr>
          <w:p w14:paraId="79C8D79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2903222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39 MNOK</w:t>
            </w:r>
          </w:p>
        </w:tc>
        <w:tc>
          <w:tcPr>
            <w:tcW w:w="1560" w:type="dxa"/>
            <w:noWrap/>
            <w:hideMark/>
          </w:tcPr>
          <w:p w14:paraId="784226D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6 %</w:t>
            </w:r>
          </w:p>
        </w:tc>
      </w:tr>
      <w:tr w:rsidR="00B7292D" w:rsidRPr="00DF1C63" w14:paraId="636741CD"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3A83894D"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337303A"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5742186E"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1DB01B5D"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08168BBE"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5 %</w:t>
            </w:r>
          </w:p>
        </w:tc>
      </w:tr>
      <w:tr w:rsidR="00DF1C63" w:rsidRPr="00DF1C63" w14:paraId="7E5BE3C1"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6515D4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A7553DA"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421E95DB"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2A67CD39"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6B38D54D"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4 %</w:t>
            </w:r>
          </w:p>
        </w:tc>
      </w:tr>
      <w:tr w:rsidR="00B7292D" w:rsidRPr="00DF1C63" w14:paraId="0F00A6F0"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263D5BD3"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AF8791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494AD74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573189C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22802A22"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2 %</w:t>
            </w:r>
          </w:p>
        </w:tc>
      </w:tr>
      <w:tr w:rsidR="00DF1C63" w:rsidRPr="00DF1C63" w14:paraId="737CB656" w14:textId="77777777" w:rsidTr="00647A54">
        <w:trPr>
          <w:trHeight w:val="364"/>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21E3BE9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91485E5"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63617B8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2DCBF17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96 MNOK</w:t>
            </w:r>
          </w:p>
        </w:tc>
        <w:tc>
          <w:tcPr>
            <w:tcW w:w="1560" w:type="dxa"/>
            <w:noWrap/>
            <w:hideMark/>
          </w:tcPr>
          <w:p w14:paraId="03FBF1ED" w14:textId="77777777" w:rsidR="00DF1C63" w:rsidRPr="00DF1C63" w:rsidRDefault="00DF1C63" w:rsidP="00DF1C63">
            <w:pPr>
              <w:keepNext/>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5 %</w:t>
            </w:r>
          </w:p>
        </w:tc>
      </w:tr>
    </w:tbl>
    <w:p w14:paraId="6EAB6CCE" w14:textId="0E9739D1" w:rsidR="00E1519F" w:rsidRDefault="00E1519F" w:rsidP="00CD3270">
      <w:pPr>
        <w:pStyle w:val="Bildetekst"/>
      </w:pPr>
      <w:r>
        <w:t xml:space="preserve">Tabell 2: </w:t>
      </w:r>
      <w:r w:rsidRPr="007309F5">
        <w:rPr>
          <w:noProof/>
        </w:rPr>
        <w:t>IKT-leveranser mellom aktørene i sektor</w:t>
      </w:r>
    </w:p>
    <w:p w14:paraId="66911869" w14:textId="41E8CFD1" w:rsidR="00667644" w:rsidRDefault="00667644" w:rsidP="002B62C6">
      <w:pPr>
        <w:keepNext/>
      </w:pPr>
    </w:p>
    <w:p w14:paraId="5816C835" w14:textId="52C8D58D" w:rsidR="00802B46" w:rsidRDefault="00F11002" w:rsidP="00752E26">
      <w:r>
        <w:t xml:space="preserve">Ser vi nærmere på </w:t>
      </w:r>
      <w:r w:rsidR="00AB5760">
        <w:t xml:space="preserve">den årlige </w:t>
      </w:r>
      <w:r w:rsidR="008C3486">
        <w:t>utviklingen av IKT-kostnader der IKT-arbeidet faktisk ut</w:t>
      </w:r>
      <w:r w:rsidR="00D65FC8">
        <w:t>føres</w:t>
      </w:r>
      <w:r w:rsidR="008C3486">
        <w:t xml:space="preserve"> </w:t>
      </w:r>
      <w:r w:rsidR="00AB5760">
        <w:t>i sektoren</w:t>
      </w:r>
      <w:r w:rsidR="006A1410">
        <w:t>,</w:t>
      </w:r>
      <w:r w:rsidR="00AB5760">
        <w:t xml:space="preserve"> </w:t>
      </w:r>
      <w:r w:rsidR="008C3486">
        <w:t>ser vi tegn til at IKT-</w:t>
      </w:r>
      <w:r w:rsidR="00396067">
        <w:t>innsatsen</w:t>
      </w:r>
      <w:r w:rsidR="008C3486">
        <w:t xml:space="preserve"> de siste årene er i ferd med å sentraliseres</w:t>
      </w:r>
      <w:r w:rsidR="00396067">
        <w:t>.</w:t>
      </w:r>
      <w:r w:rsidR="00777AC5">
        <w:t xml:space="preserve"> Figuren nedenfor viser </w:t>
      </w:r>
      <w:r w:rsidR="00641DE4">
        <w:t>en utvikling i fordeling</w:t>
      </w:r>
      <w:r w:rsidR="001A1285">
        <w:t>en av hvor mye av IKT-arbeidet som er utført lokalt</w:t>
      </w:r>
      <w:r w:rsidR="008C32DD">
        <w:t>, regionalt</w:t>
      </w:r>
      <w:r w:rsidR="009E0606">
        <w:t xml:space="preserve"> </w:t>
      </w:r>
      <w:r w:rsidR="00C95FA2">
        <w:t xml:space="preserve">og </w:t>
      </w:r>
      <w:r w:rsidR="00C71E4A">
        <w:t>nasjonalt</w:t>
      </w:r>
      <w:r w:rsidR="004B7D21">
        <w:t>.</w:t>
      </w:r>
      <w:r w:rsidR="00346473" w:rsidRPr="00346473">
        <w:t xml:space="preserve"> </w:t>
      </w:r>
      <w:r w:rsidR="00346473">
        <w:t>I figuren betyr kategorien «nasjonal» at IKT-arbeidet drives av en av de nasjonale aktørene i sektoren (inkludert Pasientreiser og HDO). Kategorien regional betyr at IKT-arbeidet drives av et regionalt helseforetak eller en regional IKT-leverandør. Kategorien lokal betyr at IKT-arbeidet drives av et lokalt helseforetak og/eller et privat ideelt sykehus.</w:t>
      </w:r>
    </w:p>
    <w:p w14:paraId="4299DF8D" w14:textId="77777777" w:rsidR="00E1519F" w:rsidRDefault="000849BB" w:rsidP="00E1519F">
      <w:pPr>
        <w:keepNext/>
        <w:jc w:val="center"/>
      </w:pPr>
      <w:r>
        <w:rPr>
          <w:noProof/>
        </w:rPr>
        <w:lastRenderedPageBreak/>
        <w:drawing>
          <wp:inline distT="0" distB="0" distL="0" distR="0" wp14:anchorId="351110E6" wp14:editId="0F75A260">
            <wp:extent cx="5390515" cy="3713871"/>
            <wp:effectExtent l="0" t="0" r="635" b="1270"/>
            <wp:docPr id="233" name="Bilde 233" descr="Søylediagram som viser utviklingen i fordelingen av IKT kostander. Fordelnigen viser andelen mellom nasjonal, regional og lokalt nivå, for årene 2018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ilde 233" descr="Søylediagram som viser utviklingen i fordelingen av IKT kostander. Fordelnigen viser andelen mellom nasjonal, regional og lokalt nivå, for årene 2018 til 2021."/>
                    <pic:cNvPicPr/>
                  </pic:nvPicPr>
                  <pic:blipFill rotWithShape="1">
                    <a:blip r:embed="rId17">
                      <a:extLst>
                        <a:ext uri="{28A0092B-C50C-407E-A947-70E740481C1C}">
                          <a14:useLocalDpi xmlns:a14="http://schemas.microsoft.com/office/drawing/2010/main" val="0"/>
                        </a:ext>
                      </a:extLst>
                    </a:blip>
                    <a:srcRect b="6688"/>
                    <a:stretch/>
                  </pic:blipFill>
                  <pic:spPr bwMode="auto">
                    <a:xfrm>
                      <a:off x="0" y="0"/>
                      <a:ext cx="5391142" cy="3714303"/>
                    </a:xfrm>
                    <a:prstGeom prst="rect">
                      <a:avLst/>
                    </a:prstGeom>
                    <a:ln>
                      <a:noFill/>
                    </a:ln>
                    <a:extLst>
                      <a:ext uri="{53640926-AAD7-44D8-BBD7-CCE9431645EC}">
                        <a14:shadowObscured xmlns:a14="http://schemas.microsoft.com/office/drawing/2010/main"/>
                      </a:ext>
                    </a:extLst>
                  </pic:spPr>
                </pic:pic>
              </a:graphicData>
            </a:graphic>
          </wp:inline>
        </w:drawing>
      </w:r>
    </w:p>
    <w:p w14:paraId="3056653D" w14:textId="4892F0DD" w:rsidR="00E1519F" w:rsidRDefault="00E1519F"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4</w:t>
      </w:r>
      <w:r w:rsidR="00DC6F8E">
        <w:rPr>
          <w:noProof/>
        </w:rPr>
        <w:fldChar w:fldCharType="end"/>
      </w:r>
      <w:r>
        <w:t xml:space="preserve">: Utvikling i fordeling av IKT-kostnader der hvor IKT-arbeidet utføres fra 2018-2021. </w:t>
      </w:r>
    </w:p>
    <w:p w14:paraId="07E41943" w14:textId="18AF1239" w:rsidR="00C21FB2" w:rsidRDefault="006235EA">
      <w:r>
        <w:t xml:space="preserve">Sentraliseringen av </w:t>
      </w:r>
      <w:r w:rsidR="001E3066">
        <w:t>IKT-arbeidet blir enda tydeligere når vi sammenligner</w:t>
      </w:r>
      <w:r w:rsidR="001C4AA0">
        <w:t xml:space="preserve"> </w:t>
      </w:r>
      <w:r w:rsidR="00E02194">
        <w:t xml:space="preserve">den årlige </w:t>
      </w:r>
      <w:r w:rsidR="002F38FC">
        <w:t>kostnads</w:t>
      </w:r>
      <w:r w:rsidR="001C4AA0">
        <w:t>utviklingen</w:t>
      </w:r>
      <w:r w:rsidR="000370C0">
        <w:t xml:space="preserve"> </w:t>
      </w:r>
      <w:r w:rsidR="00917CE3">
        <w:t xml:space="preserve">for IKT-arbeid </w:t>
      </w:r>
      <w:r w:rsidR="00E02194">
        <w:t xml:space="preserve">i helseforvaltningen og helseregionene. </w:t>
      </w:r>
      <w:r w:rsidR="002F38FC">
        <w:t>K</w:t>
      </w:r>
      <w:r w:rsidR="00295E86" w:rsidRPr="00295E86">
        <w:t>ostnade</w:t>
      </w:r>
      <w:r w:rsidR="00D57B7E">
        <w:t>ne</w:t>
      </w:r>
      <w:r w:rsidR="00295E86" w:rsidRPr="00295E86">
        <w:t xml:space="preserve"> </w:t>
      </w:r>
      <w:r w:rsidR="00E02194">
        <w:t xml:space="preserve">for IKT-arbeidet </w:t>
      </w:r>
      <w:r w:rsidR="00D57B7E">
        <w:t xml:space="preserve">i helseforvaltningen </w:t>
      </w:r>
      <w:r w:rsidR="00295E86" w:rsidRPr="00295E86">
        <w:t xml:space="preserve">har </w:t>
      </w:r>
      <w:r w:rsidR="00C87174">
        <w:t xml:space="preserve">i gjennomsnitt </w:t>
      </w:r>
      <w:r w:rsidR="00295E86" w:rsidRPr="00295E86">
        <w:t>økt med 22% per år fra 2018 til 2021.</w:t>
      </w:r>
      <w:r w:rsidR="00E007B3">
        <w:t xml:space="preserve"> </w:t>
      </w:r>
      <w:r w:rsidR="002F38FC">
        <w:t>K</w:t>
      </w:r>
      <w:r w:rsidR="00E007B3">
        <w:t xml:space="preserve">ostnadene for IKT-arbeidet i helseregionene har </w:t>
      </w:r>
      <w:r w:rsidR="00352EC0">
        <w:t xml:space="preserve">hatt en gjennomsnittlig økning på </w:t>
      </w:r>
      <w:r w:rsidR="00295E86" w:rsidRPr="00295E86">
        <w:t>9% i samme periode.</w:t>
      </w:r>
    </w:p>
    <w:p w14:paraId="34443D8E" w14:textId="7CA68707" w:rsidR="00617CBB" w:rsidRDefault="000908A2">
      <w:r>
        <w:t xml:space="preserve">Det er spesielt </w:t>
      </w:r>
      <w:r w:rsidR="003B5022">
        <w:t>to</w:t>
      </w:r>
      <w:r w:rsidR="005804AA">
        <w:t xml:space="preserve"> </w:t>
      </w:r>
      <w:r w:rsidR="00FB4E13">
        <w:t>innsatsområder</w:t>
      </w:r>
      <w:r w:rsidR="005804AA">
        <w:t xml:space="preserve"> som har bidratt til en høy</w:t>
      </w:r>
      <w:r w:rsidR="00FB4E13">
        <w:t>e</w:t>
      </w:r>
      <w:r w:rsidR="005804AA">
        <w:t xml:space="preserve">re </w:t>
      </w:r>
      <w:r w:rsidR="00790BDE">
        <w:t>IKT-</w:t>
      </w:r>
      <w:r w:rsidR="005804AA">
        <w:t xml:space="preserve">kostnadsøkning </w:t>
      </w:r>
      <w:r w:rsidR="00790BDE">
        <w:t xml:space="preserve">nasjonalt </w:t>
      </w:r>
      <w:r w:rsidR="0002546E">
        <w:t>enn regionalt</w:t>
      </w:r>
      <w:r w:rsidR="005C658C">
        <w:t xml:space="preserve"> de siste årene</w:t>
      </w:r>
      <w:r w:rsidR="0002546E">
        <w:t xml:space="preserve">. Dette er </w:t>
      </w:r>
      <w:r w:rsidR="00C07891">
        <w:t xml:space="preserve">arbeidet med å </w:t>
      </w:r>
      <w:r w:rsidR="00790BDE" w:rsidRPr="00790BDE">
        <w:t>moderniser</w:t>
      </w:r>
      <w:r w:rsidR="00D47B23">
        <w:t>e</w:t>
      </w:r>
      <w:r w:rsidR="00790BDE" w:rsidRPr="00790BDE">
        <w:t xml:space="preserve"> folkeregisteret</w:t>
      </w:r>
      <w:r w:rsidR="00790BDE">
        <w:t xml:space="preserve"> </w:t>
      </w:r>
      <w:r w:rsidR="00D47B23">
        <w:t>i helsesektoren</w:t>
      </w:r>
      <w:r w:rsidR="00884000">
        <w:t>,</w:t>
      </w:r>
      <w:r w:rsidR="00D47B23">
        <w:t xml:space="preserve"> </w:t>
      </w:r>
      <w:r w:rsidR="00790BDE">
        <w:t>og</w:t>
      </w:r>
      <w:r w:rsidR="00D47B23">
        <w:t xml:space="preserve"> </w:t>
      </w:r>
      <w:r w:rsidR="0072501A">
        <w:t xml:space="preserve">arbeidet med å </w:t>
      </w:r>
      <w:r w:rsidR="006C174F">
        <w:t xml:space="preserve">utvikle nye </w:t>
      </w:r>
      <w:r w:rsidR="00EB336A">
        <w:t xml:space="preserve">nasjonale </w:t>
      </w:r>
      <w:r w:rsidR="006C174F">
        <w:t xml:space="preserve">tjenester og løsninger </w:t>
      </w:r>
      <w:r w:rsidR="0062486B">
        <w:t>som skal gi</w:t>
      </w:r>
      <w:r w:rsidR="00C728CF">
        <w:t xml:space="preserve"> raskere og sikrer</w:t>
      </w:r>
      <w:r w:rsidR="00FB4E13">
        <w:t>e</w:t>
      </w:r>
      <w:r w:rsidR="00C728CF">
        <w:t xml:space="preserve"> tilgang til helsedata</w:t>
      </w:r>
      <w:r w:rsidR="00790BDE" w:rsidRPr="00790BDE">
        <w:t>.</w:t>
      </w:r>
      <w:r w:rsidR="0012497C">
        <w:t xml:space="preserve"> </w:t>
      </w:r>
      <w:r w:rsidR="009A5A95">
        <w:t xml:space="preserve">Begge initiativene vil </w:t>
      </w:r>
      <w:r w:rsidR="00D339C8">
        <w:t>bidra</w:t>
      </w:r>
      <w:r w:rsidR="00680942">
        <w:t xml:space="preserve"> </w:t>
      </w:r>
      <w:r w:rsidR="00D748F4">
        <w:t xml:space="preserve">til </w:t>
      </w:r>
      <w:r w:rsidR="002A204C">
        <w:t>økt gjenbruk og deling av</w:t>
      </w:r>
      <w:r w:rsidR="00680942">
        <w:t xml:space="preserve"> offentlige data og helsedata</w:t>
      </w:r>
      <w:r w:rsidR="00885168">
        <w:t xml:space="preserve">, både i og utenfor sektoren, og </w:t>
      </w:r>
      <w:r w:rsidR="00AE0275">
        <w:t>legger med det til</w:t>
      </w:r>
      <w:r w:rsidR="00B41A1F">
        <w:t xml:space="preserve"> </w:t>
      </w:r>
      <w:r w:rsidR="00AE0275">
        <w:t>rette</w:t>
      </w:r>
      <w:r w:rsidR="00D339C8">
        <w:t xml:space="preserve"> for</w:t>
      </w:r>
      <w:r w:rsidR="00716F87">
        <w:t xml:space="preserve"> </w:t>
      </w:r>
      <w:r w:rsidR="00B41A1F">
        <w:t xml:space="preserve">nye måter å bruke data i </w:t>
      </w:r>
      <w:r w:rsidR="00B718D6">
        <w:t>helsetjenester</w:t>
      </w:r>
      <w:r w:rsidR="00DA1E45">
        <w:t xml:space="preserve"> og </w:t>
      </w:r>
      <w:proofErr w:type="gramStart"/>
      <w:r w:rsidR="00B718D6">
        <w:t>potensielle</w:t>
      </w:r>
      <w:proofErr w:type="gramEnd"/>
      <w:r w:rsidR="00B718D6">
        <w:t xml:space="preserve"> </w:t>
      </w:r>
      <w:r w:rsidR="00FE431B">
        <w:t>gevinst</w:t>
      </w:r>
      <w:r w:rsidR="001126EB">
        <w:t>er</w:t>
      </w:r>
      <w:r w:rsidR="00FE431B">
        <w:t xml:space="preserve"> fra </w:t>
      </w:r>
      <w:r w:rsidR="00C51F3C">
        <w:t xml:space="preserve">sektorens </w:t>
      </w:r>
      <w:r w:rsidR="00FE431B">
        <w:t>IKT</w:t>
      </w:r>
      <w:r w:rsidR="00C51F3C">
        <w:t>-arbeid</w:t>
      </w:r>
      <w:r w:rsidR="00FE431B">
        <w:t xml:space="preserve"> i årene fremover</w:t>
      </w:r>
      <w:r w:rsidR="00D43C39">
        <w:t>.</w:t>
      </w:r>
    </w:p>
    <w:p w14:paraId="52E52294" w14:textId="24613503" w:rsidR="00EF1D8F" w:rsidRDefault="00A56AE4">
      <w:r>
        <w:t>D</w:t>
      </w:r>
      <w:r w:rsidR="00B718D6">
        <w:t xml:space="preserve">ersom vi sammenligner sektorens infrastrukturkostnader med internasjonale </w:t>
      </w:r>
      <w:r w:rsidR="000D6C1D">
        <w:t>tall,</w:t>
      </w:r>
      <w:r>
        <w:t xml:space="preserve"> </w:t>
      </w:r>
      <w:r w:rsidR="00346473">
        <w:t>finner vi tegn på kostnadsbesparende effekter på infrastrukturkostnadene til nasjonale og regionale aktører. Selv om denne kostnadsutviklingen inntreffer samtidig som den økte sentraliseringen i sektor, har vi ikke tilstrekkelig data til å kunne peke på noen årsakssammenheng mellom disse funnene.</w:t>
      </w:r>
      <w:r w:rsidR="00346473" w:rsidDel="00346473">
        <w:t xml:space="preserve"> </w:t>
      </w:r>
    </w:p>
    <w:p w14:paraId="65F4B48A" w14:textId="77777777" w:rsidR="00E1519F" w:rsidRDefault="00A926D5" w:rsidP="00E1519F">
      <w:pPr>
        <w:keepNext/>
        <w:jc w:val="center"/>
      </w:pPr>
      <w:r>
        <w:rPr>
          <w:noProof/>
        </w:rPr>
        <w:lastRenderedPageBreak/>
        <w:drawing>
          <wp:inline distT="0" distB="0" distL="0" distR="0" wp14:anchorId="79680FDC" wp14:editId="1EED32EE">
            <wp:extent cx="5566862" cy="2256311"/>
            <wp:effectExtent l="0" t="0" r="0" b="0"/>
            <wp:docPr id="230" name="Bilde 7" descr="Liggende søylediagram som viser fordelingen av IKT kostander på funksjonsområder. Tallene viser en sammenlikning mellom Gartner sine EMEA tall og nasjonaltnivå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e 7" descr="Liggende søylediagram som viser fordelingen av IKT kostander på funksjonsområder. Tallene viser en sammenlikning mellom Gartner sine EMEA tall og nasjonaltnivå for 2021."/>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0DBA97B2-85CB-E56E-C99F-D6821FB877AD}"/>
                        </a:ext>
                      </a:extLst>
                    </a:blip>
                    <a:stretch>
                      <a:fillRect/>
                    </a:stretch>
                  </pic:blipFill>
                  <pic:spPr>
                    <a:xfrm>
                      <a:off x="0" y="0"/>
                      <a:ext cx="5566862" cy="2256311"/>
                    </a:xfrm>
                    <a:prstGeom prst="rect">
                      <a:avLst/>
                    </a:prstGeom>
                  </pic:spPr>
                </pic:pic>
              </a:graphicData>
            </a:graphic>
          </wp:inline>
        </w:drawing>
      </w:r>
    </w:p>
    <w:p w14:paraId="30D3ADAF" w14:textId="72A15880" w:rsidR="002254A1" w:rsidRDefault="00E1519F"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5</w:t>
      </w:r>
      <w:r w:rsidR="00DC6F8E">
        <w:rPr>
          <w:noProof/>
        </w:rPr>
        <w:fldChar w:fldCharType="end"/>
      </w:r>
      <w:r>
        <w:t>: Figuren over fordelingen av kostnader per IKT-funksjonsområde. Vi kan her se at kostnader knyttet til infrastruktur er lavere enn internasjonale gjennomsnittstall, mens kostnader knyttet til applikasjonsutvikling ligger over det internasjonale gjennomsnittet.</w:t>
      </w:r>
    </w:p>
    <w:p w14:paraId="2CAFEE7F" w14:textId="233F202E" w:rsidR="00FD23A2" w:rsidRDefault="00FD23A2" w:rsidP="3E68D957">
      <w:r>
        <w:t xml:space="preserve">Figuren over viser at helseforvaltningen og helseregionene </w:t>
      </w:r>
      <w:r w:rsidR="00924CB1">
        <w:t xml:space="preserve">til sammen har en lavere andel IKT-kostnader knyttet til </w:t>
      </w:r>
      <w:r w:rsidR="00560ED6">
        <w:t>datasenter, tele- og datanettverk og IKT-sluttbrukerutstyr enn det internasjonale gjennomsnittet i EMEA.</w:t>
      </w:r>
      <w:r w:rsidR="00040107">
        <w:t xml:space="preserve"> </w:t>
      </w:r>
      <w:r w:rsidR="000F23A5">
        <w:t xml:space="preserve">Kostnadsandelen </w:t>
      </w:r>
      <w:r w:rsidR="00040107" w:rsidRPr="00040107">
        <w:t>er også noe lavere enn det internasjonale gjennomsnittet</w:t>
      </w:r>
      <w:r w:rsidR="001B7A8F">
        <w:t>,</w:t>
      </w:r>
      <w:r w:rsidR="00040107" w:rsidRPr="00040107">
        <w:t xml:space="preserve"> grunnet den høye </w:t>
      </w:r>
      <w:r w:rsidR="00374529">
        <w:t>innsatsen</w:t>
      </w:r>
      <w:r w:rsidR="00040107" w:rsidRPr="00040107">
        <w:t xml:space="preserve"> </w:t>
      </w:r>
      <w:r w:rsidR="008F3034">
        <w:t xml:space="preserve">knyttet </w:t>
      </w:r>
      <w:r w:rsidR="00040107" w:rsidRPr="00040107">
        <w:t xml:space="preserve">til applikasjonsutvikling. </w:t>
      </w:r>
      <w:r w:rsidR="00A97B5B">
        <w:t>Selv om</w:t>
      </w:r>
      <w:r w:rsidR="00A97B5B" w:rsidRPr="00040107">
        <w:t xml:space="preserve"> </w:t>
      </w:r>
      <w:r w:rsidR="00040107" w:rsidRPr="00040107">
        <w:t xml:space="preserve">andelen applikasjonsutvikling </w:t>
      </w:r>
      <w:r w:rsidR="00A97B5B">
        <w:t xml:space="preserve">hadde </w:t>
      </w:r>
      <w:r w:rsidR="00040107" w:rsidRPr="00040107">
        <w:t xml:space="preserve">vært lik det internasjonale gjennomsnittet </w:t>
      </w:r>
      <w:r w:rsidR="007A1809">
        <w:t>i</w:t>
      </w:r>
      <w:r w:rsidR="00040107" w:rsidRPr="00040107">
        <w:t xml:space="preserve"> 2021</w:t>
      </w:r>
      <w:r w:rsidR="001B7A8F">
        <w:t>,</w:t>
      </w:r>
      <w:r w:rsidR="00040107" w:rsidRPr="00040107">
        <w:t xml:space="preserve"> hadde </w:t>
      </w:r>
      <w:r w:rsidR="008F3034">
        <w:t>infrastrukturkostnadene likevel ligget under det internasjonale gjennomsnittet.</w:t>
      </w:r>
    </w:p>
    <w:p w14:paraId="5AE3C24F" w14:textId="3A63C683" w:rsidR="00637B51" w:rsidRDefault="00993284" w:rsidP="00453895">
      <w:r>
        <w:t xml:space="preserve">Helseforvaltningen og helseregionene </w:t>
      </w:r>
      <w:r w:rsidR="004C1F62">
        <w:t>fortsetter</w:t>
      </w:r>
      <w:r w:rsidR="003A3C07">
        <w:t xml:space="preserve"> </w:t>
      </w:r>
      <w:r w:rsidR="004C1F62">
        <w:t xml:space="preserve">å opprettholde </w:t>
      </w:r>
      <w:r w:rsidR="002D3822">
        <w:t xml:space="preserve">den høye </w:t>
      </w:r>
      <w:r w:rsidR="004B28FE" w:rsidRPr="004B28FE">
        <w:t xml:space="preserve">innsatsen </w:t>
      </w:r>
      <w:r w:rsidR="00637B51" w:rsidRPr="00637B51">
        <w:t>på applikasjonsutvikling</w:t>
      </w:r>
      <w:r w:rsidR="003A3C07">
        <w:t>.</w:t>
      </w:r>
      <w:r w:rsidR="004B28FE" w:rsidRPr="004B28FE">
        <w:t xml:space="preserve"> </w:t>
      </w:r>
      <w:r w:rsidR="00603652">
        <w:t>Den høye innsatsen har i hovedsak vært knyttet til</w:t>
      </w:r>
      <w:r w:rsidR="00637B51" w:rsidRPr="00637B51">
        <w:t xml:space="preserve"> utvikling av moderniserte IKT-plattformer som skal tilrettelegge for bedre </w:t>
      </w:r>
      <w:r w:rsidR="0090589C">
        <w:t xml:space="preserve">datadeling og </w:t>
      </w:r>
      <w:r w:rsidR="00637B51" w:rsidRPr="00637B51">
        <w:t>samhandling i sektoren.</w:t>
      </w:r>
      <w:r w:rsidR="00637B51">
        <w:t xml:space="preserve"> </w:t>
      </w:r>
      <w:r w:rsidR="00663C8A">
        <w:t>I 2021 var d</w:t>
      </w:r>
      <w:r w:rsidR="00637B51" w:rsidRPr="00637B51">
        <w:t xml:space="preserve">e største IKT-initiativene </w:t>
      </w:r>
      <w:r w:rsidR="00BA039C">
        <w:t>som drev utviklingskostnadene</w:t>
      </w:r>
      <w:r w:rsidR="00611B6C">
        <w:t>,</w:t>
      </w:r>
      <w:r w:rsidR="00BA039C">
        <w:t xml:space="preserve"> </w:t>
      </w:r>
      <w:r w:rsidR="00637B51" w:rsidRPr="00637B51">
        <w:t>Helseplattformen i H</w:t>
      </w:r>
      <w:r w:rsidR="00BA039C">
        <w:t xml:space="preserve">else </w:t>
      </w:r>
      <w:r w:rsidR="00BA039C" w:rsidRPr="00637B51">
        <w:t>M</w:t>
      </w:r>
      <w:r w:rsidR="00BA039C">
        <w:t>idt-Norge</w:t>
      </w:r>
      <w:r w:rsidR="00637B51" w:rsidRPr="00637B51">
        <w:t xml:space="preserve">, Helsedatprogrammet og Pasientens legemiddelliste i </w:t>
      </w:r>
      <w:r w:rsidR="00BA039C">
        <w:t>Direktoratet for e</w:t>
      </w:r>
      <w:r w:rsidR="00637B51" w:rsidRPr="00637B51">
        <w:t xml:space="preserve">-helse, </w:t>
      </w:r>
      <w:r w:rsidR="00077411">
        <w:t>m</w:t>
      </w:r>
      <w:r w:rsidR="00077411" w:rsidRPr="00637B51">
        <w:t xml:space="preserve">oderniseringen </w:t>
      </w:r>
      <w:r w:rsidR="00637B51" w:rsidRPr="00637B51">
        <w:t>av folkeregisteret i NHN og ERP-prosjektet i Helse Vest.</w:t>
      </w:r>
    </w:p>
    <w:p w14:paraId="431FCC49" w14:textId="77777777" w:rsidR="00AC2F92" w:rsidRDefault="00AC2F92" w:rsidP="00453895"/>
    <w:p w14:paraId="3441EB19" w14:textId="77777777" w:rsidR="00AC2F92" w:rsidRDefault="00AC2F92" w:rsidP="00453895"/>
    <w:p w14:paraId="4DA0DE72" w14:textId="77777777" w:rsidR="00AC2F92" w:rsidRDefault="00AC2F92" w:rsidP="00453895"/>
    <w:p w14:paraId="3C481D88" w14:textId="77777777" w:rsidR="00AC2F92" w:rsidRDefault="00AC2F92" w:rsidP="00453895"/>
    <w:p w14:paraId="69CAE7C2" w14:textId="77777777" w:rsidR="00AC2F92" w:rsidRDefault="00AC2F92" w:rsidP="00453895"/>
    <w:p w14:paraId="13A7429A" w14:textId="77777777" w:rsidR="00AC2F92" w:rsidRDefault="00AC2F92" w:rsidP="00453895"/>
    <w:p w14:paraId="7C009E70" w14:textId="77777777" w:rsidR="00AC2F92" w:rsidRDefault="00AC2F92" w:rsidP="00453895"/>
    <w:p w14:paraId="4F70A546" w14:textId="77777777" w:rsidR="00AC2F92" w:rsidRDefault="00AC2F92" w:rsidP="00453895"/>
    <w:p w14:paraId="7EDD34C7" w14:textId="77777777" w:rsidR="00AC2F92" w:rsidRDefault="00AC2F92" w:rsidP="00453895"/>
    <w:p w14:paraId="6B0549C9" w14:textId="77777777" w:rsidR="00AC2F92" w:rsidRDefault="00AC2F92" w:rsidP="00453895"/>
    <w:p w14:paraId="44B7771E" w14:textId="77777777" w:rsidR="00AC2F92" w:rsidRPr="00637B51" w:rsidRDefault="00AC2F92" w:rsidP="00453895"/>
    <w:p w14:paraId="57CAE2FB" w14:textId="252785D7" w:rsidR="00EF1D8F" w:rsidRDefault="00D86C95" w:rsidP="00FA3715">
      <w:pPr>
        <w:pStyle w:val="Overskrift2"/>
      </w:pPr>
      <w:bookmarkStart w:id="30" w:name="_Toc117156997"/>
      <w:bookmarkStart w:id="31" w:name="_Toc146784543"/>
      <w:bookmarkEnd w:id="30"/>
      <w:r>
        <w:lastRenderedPageBreak/>
        <w:t>Kostnadsutvikling i helseregionene</w:t>
      </w:r>
      <w:bookmarkEnd w:id="31"/>
    </w:p>
    <w:p w14:paraId="107F20B0" w14:textId="28BCE248" w:rsidR="001F7BE6" w:rsidRPr="001F7BE6" w:rsidRDefault="001F7BE6" w:rsidP="001F7BE6">
      <w:r w:rsidRPr="001F7BE6">
        <w:t xml:space="preserve">IKT-kostnadene for helseregionene inkluderer IKT-kostnadene til </w:t>
      </w:r>
      <w:r w:rsidR="00663C8A">
        <w:t>regionale helseforetak</w:t>
      </w:r>
      <w:r w:rsidRPr="001F7BE6">
        <w:t xml:space="preserve">, regionale IKT-leverandører, </w:t>
      </w:r>
      <w:r w:rsidR="00A05687">
        <w:t>lokale h</w:t>
      </w:r>
      <w:r w:rsidRPr="001F7BE6">
        <w:t xml:space="preserve">elseforetak, </w:t>
      </w:r>
      <w:r w:rsidR="00A05687">
        <w:t xml:space="preserve">private </w:t>
      </w:r>
      <w:r w:rsidRPr="001F7BE6">
        <w:t xml:space="preserve">ideelle sykehus og regionenes finansiering av IKT-arbeid i HDO og Pasientreiser </w:t>
      </w:r>
      <w:r w:rsidR="00A05687">
        <w:t>samt</w:t>
      </w:r>
      <w:r w:rsidRPr="001F7BE6">
        <w:t xml:space="preserve"> kjøp av IKT-tjenester fra øvrig helseforvaltning.</w:t>
      </w:r>
    </w:p>
    <w:p w14:paraId="489536AB" w14:textId="1E5BB934" w:rsidR="00E42EDF" w:rsidRDefault="001F7BE6" w:rsidP="001F7BE6">
      <w:r w:rsidRPr="001F7BE6">
        <w:t xml:space="preserve">De totale IKT-kostnadene </w:t>
      </w:r>
      <w:r w:rsidR="00222D28">
        <w:t>i helsere</w:t>
      </w:r>
      <w:r w:rsidR="0015628E">
        <w:t xml:space="preserve">gionene </w:t>
      </w:r>
      <w:r w:rsidRPr="001F7BE6">
        <w:t xml:space="preserve">økte med 11% fra 2020 til 2021. Økningen var høyere enn året før som følger av </w:t>
      </w:r>
      <w:r w:rsidR="0015628E">
        <w:t>økt</w:t>
      </w:r>
      <w:r w:rsidRPr="001F7BE6">
        <w:t xml:space="preserve"> IKT-innsats etter Korona-perioden.</w:t>
      </w:r>
      <w:r w:rsidR="00515C5F">
        <w:t xml:space="preserve"> Siden 2017 har de totale </w:t>
      </w:r>
      <w:r w:rsidR="00B22B86">
        <w:t>IKT-kostnad</w:t>
      </w:r>
      <w:r w:rsidR="00515C5F">
        <w:t>ene</w:t>
      </w:r>
      <w:r w:rsidR="00B22B86">
        <w:t xml:space="preserve"> i helseregionene </w:t>
      </w:r>
      <w:r w:rsidR="00515C5F">
        <w:t xml:space="preserve">årlig </w:t>
      </w:r>
      <w:r w:rsidR="00B22B86">
        <w:t xml:space="preserve">økt med et gjennomsnitt på </w:t>
      </w:r>
      <w:r w:rsidR="00AF6762">
        <w:t>9</w:t>
      </w:r>
      <w:r w:rsidR="00B22B86">
        <w:t xml:space="preserve">%. </w:t>
      </w:r>
    </w:p>
    <w:p w14:paraId="38CA0D34" w14:textId="77777777" w:rsidR="00E1519F" w:rsidRDefault="00CA0370" w:rsidP="00E1519F">
      <w:pPr>
        <w:keepNext/>
        <w:jc w:val="center"/>
      </w:pPr>
      <w:r>
        <w:rPr>
          <w:noProof/>
        </w:rPr>
        <w:drawing>
          <wp:inline distT="0" distB="0" distL="0" distR="0" wp14:anchorId="241D2DB7" wp14:editId="2ABE3FC5">
            <wp:extent cx="4522763" cy="3206185"/>
            <wp:effectExtent l="0" t="0" r="0" b="0"/>
            <wp:docPr id="335" name="Bilde 335" descr="Søylediagram som viser utviklingene av IKT kostnader for de regionale helseforetakene hver for seg og summert sammen, for årene 2017 til 2021. Diagrammet viser økning år for å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Bilde 335" descr="Søylediagram som viser utviklingene av IKT kostnader for de regionale helseforetakene hver for seg og summert sammen, for årene 2017 til 2021. Diagrammet viser økning år for år. "/>
                    <pic:cNvPicPr>
                      <a:picLocks noChangeAspect="1" noChangeArrowheads="1"/>
                    </pic:cNvPicPr>
                  </pic:nvPicPr>
                  <pic:blipFill>
                    <a:blip r:embed="rId19"/>
                    <a:stretch>
                      <a:fillRect/>
                    </a:stretch>
                  </pic:blipFill>
                  <pic:spPr bwMode="auto">
                    <a:xfrm>
                      <a:off x="0" y="0"/>
                      <a:ext cx="4542290" cy="3220028"/>
                    </a:xfrm>
                    <a:prstGeom prst="rect">
                      <a:avLst/>
                    </a:prstGeom>
                    <a:noFill/>
                  </pic:spPr>
                </pic:pic>
              </a:graphicData>
            </a:graphic>
          </wp:inline>
        </w:drawing>
      </w:r>
    </w:p>
    <w:p w14:paraId="7F9C4214" w14:textId="43964E3C" w:rsidR="00E1519F" w:rsidRDefault="00E1519F"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6</w:t>
      </w:r>
      <w:r w:rsidR="00DC6F8E">
        <w:rPr>
          <w:noProof/>
        </w:rPr>
        <w:fldChar w:fldCharType="end"/>
      </w:r>
      <w:r>
        <w:t>: Utvikling i IKT-kostnader for helseregionene 2017-2021</w:t>
      </w:r>
    </w:p>
    <w:p w14:paraId="64026C33" w14:textId="36953181" w:rsidR="00CA0370" w:rsidRDefault="00CA0370" w:rsidP="00CD3270">
      <w:pPr>
        <w:pStyle w:val="Bildetekst"/>
      </w:pPr>
    </w:p>
    <w:p w14:paraId="286F24AE" w14:textId="504BA9DB" w:rsidR="00ED5ABD" w:rsidRDefault="00EF1D8F">
      <w:r>
        <w:t xml:space="preserve">Sammenligner vi utviklingen av IKT-kostnader i helseregionene de siste årene med den totale utviklingen av driftskostnader og somatiske tjenester i spesialisthelsetjenesten finner vi </w:t>
      </w:r>
      <w:r w:rsidR="00DD4A8B">
        <w:t xml:space="preserve">at </w:t>
      </w:r>
      <w:r>
        <w:t xml:space="preserve">Helseregionene </w:t>
      </w:r>
      <w:r w:rsidR="00DD4A8B">
        <w:t>gradvis bruker</w:t>
      </w:r>
      <w:r>
        <w:t xml:space="preserve"> mer av budsjettene sine på IKT. </w:t>
      </w:r>
    </w:p>
    <w:p w14:paraId="387975EA" w14:textId="2CA9F42C" w:rsidR="00EF1D8F" w:rsidRPr="00D12047" w:rsidRDefault="00EF1D8F" w:rsidP="00BB30AE">
      <w:r>
        <w:t xml:space="preserve">IKT-kostnadene har økt fra å utgjøre 5,5% av de totale driftskostnadene i 2018 til 6,1% av de totale driftskostnadene i 2021. </w:t>
      </w:r>
      <w:r w:rsidR="00FA6791">
        <w:t>Videre ser vi at u</w:t>
      </w:r>
      <w:r>
        <w:t>tviklingen av IKT-kostnader har økt mer enn utviklingen av kostnader til somatiske tjenester.</w:t>
      </w:r>
      <w:r w:rsidR="00F54BBA">
        <w:t xml:space="preserve"> </w:t>
      </w:r>
    </w:p>
    <w:p w14:paraId="5AEC2E47" w14:textId="77777777" w:rsidR="00E1519F" w:rsidRDefault="00EF1D8F" w:rsidP="00E1519F">
      <w:pPr>
        <w:keepNext/>
        <w:jc w:val="center"/>
      </w:pPr>
      <w:r>
        <w:rPr>
          <w:noProof/>
        </w:rPr>
        <w:lastRenderedPageBreak/>
        <w:drawing>
          <wp:inline distT="0" distB="0" distL="0" distR="0" wp14:anchorId="6DB62770" wp14:editId="6BFDE19B">
            <wp:extent cx="4601056" cy="3080825"/>
            <wp:effectExtent l="0" t="0" r="0" b="5715"/>
            <wp:docPr id="225" name="Bilde 225" descr="Søylediagram som viser utviklingen av IKT kostnadene i helseregionene sammenliknet med utviklingen i totale driftskostnader og for somatiske tjenester for årene 2018 til 2021. Diagrammet viser økning år for år for hver av de tre inndelingene: drift, somatiske tjenester og IKT kost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e 225" descr="Søylediagram som viser utviklingen av IKT kostnadene i helseregionene sammenliknet med utviklingen i totale driftskostnader og for somatiske tjenester for årene 2018 til 2021. Diagrammet viser økning år for år for hver av de tre inndelingene: drift, somatiske tjenester og IKT kostander. "/>
                    <pic:cNvPicPr/>
                  </pic:nvPicPr>
                  <pic:blipFill>
                    <a:blip r:embed="rId20">
                      <a:extLst>
                        <a:ext uri="{28A0092B-C50C-407E-A947-70E740481C1C}">
                          <a14:useLocalDpi xmlns:a14="http://schemas.microsoft.com/office/drawing/2010/main" val="0"/>
                        </a:ext>
                      </a:extLst>
                    </a:blip>
                    <a:stretch>
                      <a:fillRect/>
                    </a:stretch>
                  </pic:blipFill>
                  <pic:spPr>
                    <a:xfrm>
                      <a:off x="0" y="0"/>
                      <a:ext cx="4601056" cy="3080825"/>
                    </a:xfrm>
                    <a:prstGeom prst="rect">
                      <a:avLst/>
                    </a:prstGeom>
                  </pic:spPr>
                </pic:pic>
              </a:graphicData>
            </a:graphic>
          </wp:inline>
        </w:drawing>
      </w:r>
    </w:p>
    <w:p w14:paraId="26AD58BE" w14:textId="602DFAFD" w:rsidR="00EF1D8F" w:rsidRDefault="00E1519F"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7</w:t>
      </w:r>
      <w:r w:rsidR="00DC6F8E">
        <w:rPr>
          <w:noProof/>
        </w:rPr>
        <w:fldChar w:fldCharType="end"/>
      </w:r>
      <w:r>
        <w:t>: Utvikling av IKT-kostnader i helseregionene sammenliknet med utvikling i kostnader på somatiske tjenester 2018-2021</w:t>
      </w:r>
    </w:p>
    <w:p w14:paraId="4A6C9D3D" w14:textId="53541A3C" w:rsidR="00EF1D8F" w:rsidRDefault="00FA6791" w:rsidP="00EF1D8F">
      <w:r>
        <w:t xml:space="preserve">En av </w:t>
      </w:r>
      <w:r w:rsidR="00EF1D8F">
        <w:t>årsakene til økningen</w:t>
      </w:r>
      <w:r w:rsidR="00EF1D8F" w:rsidRPr="00540067">
        <w:t xml:space="preserve"> </w:t>
      </w:r>
      <w:r w:rsidR="00EF1D8F">
        <w:t xml:space="preserve">av IKT-kostnader i helseregionene de 3 siste årene </w:t>
      </w:r>
      <w:r w:rsidR="00EF1D8F" w:rsidRPr="00540067">
        <w:t xml:space="preserve">har vært </w:t>
      </w:r>
      <w:r w:rsidR="00EF1D8F">
        <w:t xml:space="preserve">investeringer i nye </w:t>
      </w:r>
      <w:r w:rsidR="00EF1D8F" w:rsidRPr="00540067">
        <w:t>EPJ-</w:t>
      </w:r>
      <w:r w:rsidR="00EF1D8F">
        <w:t>løsninger</w:t>
      </w:r>
      <w:r w:rsidR="00EF1D8F" w:rsidRPr="00540067">
        <w:t xml:space="preserve"> og modernisering av IKT-infrastruktur</w:t>
      </w:r>
      <w:r w:rsidR="00EF1D8F">
        <w:t>.</w:t>
      </w:r>
      <w:r w:rsidR="00227F9F">
        <w:t xml:space="preserve"> </w:t>
      </w:r>
      <w:r w:rsidR="005E6F89">
        <w:t>Kostnadsutviklin</w:t>
      </w:r>
      <w:r w:rsidR="00262892">
        <w:t>g</w:t>
      </w:r>
      <w:r w:rsidR="005E6F89">
        <w:t xml:space="preserve">en på IKT-området </w:t>
      </w:r>
      <w:r w:rsidR="00227F9F">
        <w:t>indikerer at helseregionene prioriterer tid og ressurser til å utvikle</w:t>
      </w:r>
      <w:r w:rsidR="00D55E48">
        <w:t xml:space="preserve"> grunnlaget for</w:t>
      </w:r>
      <w:r w:rsidR="00227F9F">
        <w:t xml:space="preserve"> morgendagens digitale virksomheter.</w:t>
      </w:r>
    </w:p>
    <w:p w14:paraId="5ACB725A" w14:textId="4AF13B8A" w:rsidR="001513D1" w:rsidRDefault="0041706D" w:rsidP="00CE625E">
      <w:pPr>
        <w:spacing w:before="240"/>
      </w:pPr>
      <w:r>
        <w:t xml:space="preserve">For å </w:t>
      </w:r>
      <w:r w:rsidR="00760B2C">
        <w:t xml:space="preserve">få </w:t>
      </w:r>
      <w:r w:rsidR="00FB509C">
        <w:t xml:space="preserve">et </w:t>
      </w:r>
      <w:r w:rsidR="00876857">
        <w:t>tydeligere</w:t>
      </w:r>
      <w:r w:rsidR="00FB509C">
        <w:t xml:space="preserve"> bilde av</w:t>
      </w:r>
      <w:r>
        <w:t xml:space="preserve"> </w:t>
      </w:r>
      <w:r w:rsidR="005D5F7A">
        <w:t xml:space="preserve">hvordan </w:t>
      </w:r>
      <w:r w:rsidR="000A1C49">
        <w:t xml:space="preserve">det faktiske </w:t>
      </w:r>
      <w:r w:rsidR="00787C01">
        <w:t>kostnad</w:t>
      </w:r>
      <w:r w:rsidR="00411624">
        <w:t>- og innsat</w:t>
      </w:r>
      <w:r w:rsidR="00787C01">
        <w:t>snivået for IKT</w:t>
      </w:r>
      <w:r w:rsidR="005D5F7A">
        <w:t xml:space="preserve"> har utviklet seg </w:t>
      </w:r>
      <w:r w:rsidR="00787C01">
        <w:t>i helseregionene</w:t>
      </w:r>
      <w:r w:rsidR="005D5F7A">
        <w:t xml:space="preserve"> over tid</w:t>
      </w:r>
      <w:r>
        <w:t xml:space="preserve"> </w:t>
      </w:r>
      <w:r w:rsidR="007401EA">
        <w:t>kan</w:t>
      </w:r>
      <w:r w:rsidR="003F2FD7">
        <w:t xml:space="preserve"> man se på </w:t>
      </w:r>
      <w:r w:rsidR="001513D1">
        <w:t xml:space="preserve">sammenhengen </w:t>
      </w:r>
      <w:r w:rsidR="003C3965">
        <w:t>mellom</w:t>
      </w:r>
      <w:r w:rsidR="001513D1">
        <w:t xml:space="preserve"> </w:t>
      </w:r>
      <w:r w:rsidR="003F2FD7">
        <w:t xml:space="preserve">utviklingen av </w:t>
      </w:r>
      <w:r w:rsidR="006161D9">
        <w:t>3 nøkkeltall</w:t>
      </w:r>
      <w:r w:rsidR="001513D1">
        <w:t>:</w:t>
      </w:r>
    </w:p>
    <w:p w14:paraId="67231E67" w14:textId="680C0E5A" w:rsidR="001513D1" w:rsidRDefault="001513D1" w:rsidP="003C1BA8">
      <w:pPr>
        <w:pStyle w:val="Listeavsnitt"/>
        <w:numPr>
          <w:ilvl w:val="0"/>
          <w:numId w:val="38"/>
        </w:numPr>
        <w:spacing w:before="240"/>
      </w:pPr>
      <w:r>
        <w:t xml:space="preserve">Utviklingen i </w:t>
      </w:r>
      <w:r w:rsidR="00372410">
        <w:t xml:space="preserve">de </w:t>
      </w:r>
      <w:r w:rsidR="00B7113E" w:rsidRPr="00211543">
        <w:t>totale IKT-utgifte</w:t>
      </w:r>
      <w:r w:rsidR="00A32508">
        <w:t>ne</w:t>
      </w:r>
      <w:r w:rsidR="00B7113E">
        <w:t xml:space="preserve"> </w:t>
      </w:r>
      <w:r>
        <w:t xml:space="preserve">som </w:t>
      </w:r>
      <w:r w:rsidR="00A32508">
        <w:t xml:space="preserve">en </w:t>
      </w:r>
      <w:r>
        <w:t xml:space="preserve">andel av </w:t>
      </w:r>
      <w:r w:rsidR="00A32508">
        <w:t xml:space="preserve">de </w:t>
      </w:r>
      <w:r>
        <w:t>totale driftskostnade</w:t>
      </w:r>
      <w:r w:rsidR="00372410">
        <w:t>ne</w:t>
      </w:r>
    </w:p>
    <w:p w14:paraId="12F528A6" w14:textId="05D1E2FC" w:rsidR="001B3CDD" w:rsidRDefault="001513D1" w:rsidP="003C1BA8">
      <w:pPr>
        <w:pStyle w:val="Listeavsnitt"/>
        <w:numPr>
          <w:ilvl w:val="0"/>
          <w:numId w:val="38"/>
        </w:numPr>
        <w:spacing w:before="240"/>
      </w:pPr>
      <w:r>
        <w:t xml:space="preserve">Utviklingen i </w:t>
      </w:r>
      <w:r w:rsidR="00EB46E6">
        <w:t>de</w:t>
      </w:r>
      <w:r w:rsidR="00B7113E">
        <w:t xml:space="preserve"> </w:t>
      </w:r>
      <w:r w:rsidR="00A32508">
        <w:t xml:space="preserve">totale IKT-utgiftene </w:t>
      </w:r>
      <w:r w:rsidR="003207FE">
        <w:t>per a</w:t>
      </w:r>
      <w:r w:rsidR="001B3CDD">
        <w:t>nsatt</w:t>
      </w:r>
    </w:p>
    <w:p w14:paraId="4527A18F" w14:textId="3F46D13E" w:rsidR="001B3CDD" w:rsidRDefault="001B3CDD" w:rsidP="003C1BA8">
      <w:pPr>
        <w:pStyle w:val="Listeavsnitt"/>
        <w:numPr>
          <w:ilvl w:val="0"/>
          <w:numId w:val="38"/>
        </w:numPr>
        <w:spacing w:before="240"/>
      </w:pPr>
      <w:r>
        <w:t xml:space="preserve">Utviklingen i </w:t>
      </w:r>
      <w:r w:rsidR="003207FE">
        <w:t xml:space="preserve">antall </w:t>
      </w:r>
      <w:r w:rsidR="00B7113E">
        <w:t xml:space="preserve">IKT-årsverk </w:t>
      </w:r>
      <w:r>
        <w:t xml:space="preserve">per ansatt </w:t>
      </w:r>
    </w:p>
    <w:p w14:paraId="2A5B18A4" w14:textId="1FCDCC8A" w:rsidR="00CE625E" w:rsidRDefault="0085395E" w:rsidP="001D19CB">
      <w:pPr>
        <w:spacing w:before="240"/>
      </w:pPr>
      <w:r>
        <w:t>Ved å se utviklingen av disse nøkkeltallene i sammenheng</w:t>
      </w:r>
      <w:r w:rsidR="002F3099">
        <w:t>,</w:t>
      </w:r>
      <w:r>
        <w:t xml:space="preserve"> </w:t>
      </w:r>
      <w:r w:rsidR="004D0207">
        <w:t>kan</w:t>
      </w:r>
      <w:r w:rsidR="00550D72">
        <w:t xml:space="preserve"> </w:t>
      </w:r>
      <w:r w:rsidR="005239C0">
        <w:t xml:space="preserve">det </w:t>
      </w:r>
      <w:r w:rsidR="003B3854">
        <w:t>vurdere</w:t>
      </w:r>
      <w:r w:rsidR="005239C0">
        <w:t>s</w:t>
      </w:r>
      <w:r w:rsidR="003B3854">
        <w:t xml:space="preserve"> </w:t>
      </w:r>
      <w:r w:rsidR="004D0207">
        <w:t xml:space="preserve">hvordan </w:t>
      </w:r>
      <w:r w:rsidR="00F47FEE">
        <w:t xml:space="preserve">det totale </w:t>
      </w:r>
      <w:r w:rsidR="004D0207">
        <w:t>IKT-kostnad</w:t>
      </w:r>
      <w:r w:rsidR="00F47FEE">
        <w:t>snivået</w:t>
      </w:r>
      <w:r w:rsidR="00BD4088">
        <w:t xml:space="preserve"> har utviklet seg </w:t>
      </w:r>
      <w:r w:rsidR="00E04101">
        <w:t>over tid</w:t>
      </w:r>
      <w:r w:rsidR="0052620F">
        <w:t>,</w:t>
      </w:r>
      <w:r w:rsidR="00E04101">
        <w:t xml:space="preserve"> uavhengig av </w:t>
      </w:r>
      <w:r w:rsidR="009970DA">
        <w:t xml:space="preserve">regionenes </w:t>
      </w:r>
      <w:r w:rsidR="00E04101">
        <w:t>størrelse</w:t>
      </w:r>
      <w:r w:rsidR="0052620F">
        <w:t xml:space="preserve"> (</w:t>
      </w:r>
      <w:r w:rsidR="007E489B">
        <w:t>i form av økonomi og antall ansatte</w:t>
      </w:r>
      <w:r w:rsidR="0052620F">
        <w:t>)</w:t>
      </w:r>
      <w:r w:rsidR="004E44F4">
        <w:t>,</w:t>
      </w:r>
      <w:r w:rsidR="009F6FBB">
        <w:t xml:space="preserve"> og hvordan IKT-innsatsen i form av antall IKT-årsverk </w:t>
      </w:r>
      <w:r w:rsidR="007E428D">
        <w:t xml:space="preserve">per ansatt </w:t>
      </w:r>
      <w:r w:rsidR="00411624">
        <w:t>har endret seg over tid</w:t>
      </w:r>
      <w:r w:rsidR="007E489B">
        <w:t xml:space="preserve">. </w:t>
      </w:r>
    </w:p>
    <w:p w14:paraId="1579421B" w14:textId="23BC573C" w:rsidR="00D856E4" w:rsidRDefault="00EB7969" w:rsidP="00D856E4">
      <w:r>
        <w:fldChar w:fldCharType="begin"/>
      </w:r>
      <w:r>
        <w:instrText xml:space="preserve"> REF _Ref121754818 \h </w:instrText>
      </w:r>
      <w:r>
        <w:fldChar w:fldCharType="separate"/>
      </w:r>
      <w:r w:rsidR="00943236">
        <w:rPr>
          <w:b/>
          <w:bCs/>
        </w:rPr>
        <w:t>Feil! Fant ikke referansekilden.</w:t>
      </w:r>
      <w:r>
        <w:fldChar w:fldCharType="end"/>
      </w:r>
      <w:r w:rsidR="00DD00DB">
        <w:t xml:space="preserve"> viser hvordan helseregionenes IKT-kostnad</w:t>
      </w:r>
      <w:r w:rsidR="00DD4A72">
        <w:t>s</w:t>
      </w:r>
      <w:r w:rsidR="00411624">
        <w:t>- og innsats</w:t>
      </w:r>
      <w:r w:rsidR="00DD00DB">
        <w:t xml:space="preserve">nivå </w:t>
      </w:r>
      <w:r w:rsidR="00353B18">
        <w:t xml:space="preserve">har utviklet seg </w:t>
      </w:r>
      <w:r w:rsidR="00184DF1">
        <w:t xml:space="preserve">mellom 2017 og 2021 </w:t>
      </w:r>
      <w:r w:rsidR="00353B18">
        <w:t xml:space="preserve">sammenlignet med </w:t>
      </w:r>
      <w:r w:rsidR="003A3197">
        <w:t>den internasjonale</w:t>
      </w:r>
      <w:r w:rsidR="004F3D46">
        <w:t xml:space="preserve"> utviklingen</w:t>
      </w:r>
      <w:r w:rsidR="003F1117">
        <w:t xml:space="preserve"> </w:t>
      </w:r>
      <w:r w:rsidR="00AE0039">
        <w:t xml:space="preserve">for helsetjenestetilbydere </w:t>
      </w:r>
      <w:r w:rsidR="003F1117">
        <w:t>i samme periode</w:t>
      </w:r>
      <w:r w:rsidR="00CE1110">
        <w:t>.</w:t>
      </w:r>
      <w:r w:rsidR="00CF2B14">
        <w:t xml:space="preserve"> </w:t>
      </w:r>
      <w:r w:rsidR="00CF7C7D">
        <w:t>Merk at d</w:t>
      </w:r>
      <w:r w:rsidR="00CF2B14">
        <w:t>e internasjonale tallene i figuren representerer de</w:t>
      </w:r>
      <w:r w:rsidR="00C31B95">
        <w:t>t</w:t>
      </w:r>
      <w:r w:rsidR="00CF2B14">
        <w:t xml:space="preserve"> globale </w:t>
      </w:r>
      <w:r w:rsidR="007B503D">
        <w:t>gjennomsnittet</w:t>
      </w:r>
      <w:r w:rsidR="00CF2B14">
        <w:t xml:space="preserve"> for helsetjenestetilbydere</w:t>
      </w:r>
      <w:r w:rsidR="00751AD9">
        <w:t xml:space="preserve">, </w:t>
      </w:r>
      <w:r w:rsidR="005B3BA6">
        <w:t>da</w:t>
      </w:r>
      <w:r w:rsidR="00CF2B14">
        <w:t xml:space="preserve"> vi </w:t>
      </w:r>
      <w:r w:rsidR="00566815">
        <w:t xml:space="preserve">ikke </w:t>
      </w:r>
      <w:r w:rsidR="00CF2B14">
        <w:t xml:space="preserve">har hatt tilgang til </w:t>
      </w:r>
      <w:r w:rsidR="00566815">
        <w:t>historiske data på EMEA-nivå.</w:t>
      </w:r>
      <w:r w:rsidR="00751AD9">
        <w:t xml:space="preserve"> </w:t>
      </w:r>
      <w:r w:rsidR="003D05A0">
        <w:t xml:space="preserve">Tilsvarende nøkkeltall for EMEA i 2021 var noen prosent lavere </w:t>
      </w:r>
      <w:r w:rsidR="00045F95">
        <w:t xml:space="preserve">enn den internasjonale </w:t>
      </w:r>
      <w:r w:rsidR="00C31B95">
        <w:t>gjennomsnittet</w:t>
      </w:r>
      <w:r w:rsidR="00045F95">
        <w:t xml:space="preserve"> </w:t>
      </w:r>
      <w:r w:rsidR="003D05A0">
        <w:t xml:space="preserve">for </w:t>
      </w:r>
      <w:r w:rsidR="003A586A">
        <w:t xml:space="preserve">samtlige av grafene i figuren. </w:t>
      </w:r>
      <w:r w:rsidR="00E06635">
        <w:t>I 2021 var de</w:t>
      </w:r>
      <w:r w:rsidR="004F15FA">
        <w:t xml:space="preserve"> totale IKT-kostnadene per totale driftskostnad </w:t>
      </w:r>
      <w:r w:rsidR="00E06635">
        <w:t>i EMEA</w:t>
      </w:r>
      <w:r w:rsidR="004F15FA">
        <w:t xml:space="preserve"> på 4</w:t>
      </w:r>
      <w:r w:rsidR="004A21AC">
        <w:t>,</w:t>
      </w:r>
      <w:r w:rsidR="004F15FA">
        <w:t>2%</w:t>
      </w:r>
      <w:r w:rsidR="007B1E6F">
        <w:t xml:space="preserve"> mot 4</w:t>
      </w:r>
      <w:r w:rsidR="004A21AC">
        <w:t>,</w:t>
      </w:r>
      <w:r w:rsidR="007B1E6F">
        <w:t>4% globalt</w:t>
      </w:r>
      <w:r w:rsidR="00045F95">
        <w:t>, I</w:t>
      </w:r>
      <w:r w:rsidR="006B29D5">
        <w:t>K</w:t>
      </w:r>
      <w:r w:rsidR="00045F95">
        <w:t xml:space="preserve">T-kostnad per ansatt var </w:t>
      </w:r>
      <w:r w:rsidR="006B29D5">
        <w:t xml:space="preserve">44 760 </w:t>
      </w:r>
      <w:r w:rsidR="007B1E6F">
        <w:t xml:space="preserve">mot </w:t>
      </w:r>
      <w:r w:rsidR="00B83144">
        <w:t xml:space="preserve">71 330 globalt </w:t>
      </w:r>
      <w:r w:rsidR="006B29D5">
        <w:t xml:space="preserve">og antall IKT-årsverk </w:t>
      </w:r>
      <w:r w:rsidR="00CF7C7D">
        <w:t>per ansatt var 1.5%</w:t>
      </w:r>
      <w:r w:rsidR="00B83144">
        <w:t xml:space="preserve"> mot </w:t>
      </w:r>
      <w:r w:rsidR="00E23D72">
        <w:t>3% globalt</w:t>
      </w:r>
      <w:r w:rsidR="00CF7C7D">
        <w:t>.</w:t>
      </w:r>
      <w:r w:rsidR="006B29D5">
        <w:t xml:space="preserve"> </w:t>
      </w:r>
    </w:p>
    <w:p w14:paraId="12CCA20A" w14:textId="77777777" w:rsidR="00E1519F" w:rsidRDefault="007B2556" w:rsidP="00E1519F">
      <w:pPr>
        <w:keepNext/>
      </w:pPr>
      <w:r>
        <w:rPr>
          <w:noProof/>
        </w:rPr>
        <w:lastRenderedPageBreak/>
        <w:drawing>
          <wp:inline distT="0" distB="0" distL="0" distR="0" wp14:anchorId="68AD4343" wp14:editId="6C27B674">
            <wp:extent cx="5570806" cy="4584848"/>
            <wp:effectExtent l="0" t="0" r="0" b="6350"/>
            <wp:docPr id="345" name="Bilde 345" descr="Linjediagrammer som viser hvordan helseregionenes IKT kostnader har utviklet seg mellom 2017 og 2021. De tre grafene viser utviklingen fra totale IKT kostnader, IKT kostnad per ansatt, og antall IKT årsverk per ansatt. Hver diagram er fordelt på de enkeltstående regionale helseforetakene, deres gjennomsnitt, og internasjonal gjennomsn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Bilde 345" descr="Linjediagrammer som viser hvordan helseregionenes IKT kostnader har utviklet seg mellom 2017 og 2021. De tre grafene viser utviklingen fra totale IKT kostnader, IKT kostnad per ansatt, og antall IKT årsverk per ansatt. Hver diagram er fordelt på de enkeltstående regionale helseforetakene, deres gjennomsnitt, og internasjonal gjennomsnitt. "/>
                    <pic:cNvPicPr>
                      <a:picLocks noChangeAspect="1" noChangeArrowheads="1"/>
                    </pic:cNvPicPr>
                  </pic:nvPicPr>
                  <pic:blipFill>
                    <a:blip r:embed="rId21"/>
                    <a:stretch>
                      <a:fillRect/>
                    </a:stretch>
                  </pic:blipFill>
                  <pic:spPr bwMode="auto">
                    <a:xfrm>
                      <a:off x="0" y="0"/>
                      <a:ext cx="5576117" cy="4589219"/>
                    </a:xfrm>
                    <a:prstGeom prst="rect">
                      <a:avLst/>
                    </a:prstGeom>
                    <a:noFill/>
                  </pic:spPr>
                </pic:pic>
              </a:graphicData>
            </a:graphic>
          </wp:inline>
        </w:drawing>
      </w:r>
    </w:p>
    <w:p w14:paraId="33CC40AD" w14:textId="47385CD2" w:rsidR="00B35737" w:rsidRDefault="00E1519F"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8</w:t>
      </w:r>
      <w:r w:rsidR="00DC6F8E">
        <w:rPr>
          <w:noProof/>
        </w:rPr>
        <w:fldChar w:fldCharType="end"/>
      </w:r>
      <w:r>
        <w:t xml:space="preserve">: </w:t>
      </w:r>
      <w:r w:rsidRPr="003E3E2A">
        <w:t xml:space="preserve">Figurene </w:t>
      </w:r>
      <w:r>
        <w:t>ovenfor</w:t>
      </w:r>
      <w:r w:rsidRPr="003E3E2A">
        <w:t xml:space="preserve"> viser hvordan helseregionenes IKT-kostnadsnivå har utviklet seg mellom 2017 og 2021 sammenlignet med den internasjonale utviklingen i samme periode.</w:t>
      </w:r>
      <w:r>
        <w:t xml:space="preserve"> </w:t>
      </w:r>
    </w:p>
    <w:p w14:paraId="2047BE9F" w14:textId="34C8C1F9" w:rsidR="006868BE" w:rsidRDefault="00D05785" w:rsidP="00BB30AE">
      <w:r>
        <w:t xml:space="preserve">Den </w:t>
      </w:r>
      <w:r w:rsidR="002A3B85">
        <w:t>nederste</w:t>
      </w:r>
      <w:r>
        <w:t xml:space="preserve"> grafen</w:t>
      </w:r>
      <w:r w:rsidR="0032751C">
        <w:t xml:space="preserve"> viser at </w:t>
      </w:r>
      <w:r w:rsidR="00151964">
        <w:t>h</w:t>
      </w:r>
      <w:r w:rsidR="001D4FC7">
        <w:t xml:space="preserve">elseregionene </w:t>
      </w:r>
      <w:r w:rsidR="005461CB">
        <w:t xml:space="preserve">samlet sett </w:t>
      </w:r>
      <w:r w:rsidR="00370D92">
        <w:t xml:space="preserve">har </w:t>
      </w:r>
      <w:r w:rsidR="00061B1B">
        <w:t xml:space="preserve">hatt </w:t>
      </w:r>
      <w:r w:rsidR="00370D92">
        <w:t xml:space="preserve">en </w:t>
      </w:r>
      <w:r w:rsidR="00061B1B">
        <w:t>høyere IKT-</w:t>
      </w:r>
      <w:r w:rsidR="00E16357">
        <w:t xml:space="preserve">innsats </w:t>
      </w:r>
      <w:r w:rsidR="00061B1B">
        <w:t xml:space="preserve">enn </w:t>
      </w:r>
      <w:r w:rsidR="005F5C62">
        <w:t xml:space="preserve">helsetjenestetilbydere internasjonalt </w:t>
      </w:r>
      <w:r w:rsidR="00DB79AE">
        <w:t>de siste 3 årene</w:t>
      </w:r>
      <w:r w:rsidR="000E23D8">
        <w:t>,</w:t>
      </w:r>
      <w:r w:rsidR="00DB79AE">
        <w:t xml:space="preserve"> og at dette har bidratt til å </w:t>
      </w:r>
      <w:r w:rsidR="002E59D9">
        <w:t>opprettholde et høyere kostnadsnivå</w:t>
      </w:r>
      <w:r w:rsidR="005F5C62">
        <w:t xml:space="preserve"> enn det internasjonale gjennomsnittet</w:t>
      </w:r>
      <w:r w:rsidR="00122FE0">
        <w:t xml:space="preserve">, som vist i de </w:t>
      </w:r>
      <w:r w:rsidR="000E23D8">
        <w:t>to</w:t>
      </w:r>
      <w:r w:rsidR="00122FE0">
        <w:t xml:space="preserve"> øvrige grafene</w:t>
      </w:r>
      <w:r w:rsidR="006868BE">
        <w:t>.</w:t>
      </w:r>
      <w:r w:rsidR="005B7310">
        <w:t xml:space="preserve"> </w:t>
      </w:r>
      <w:r w:rsidR="00687F2E">
        <w:t>Sprikene i grafen viser at denne trenden blant annet</w:t>
      </w:r>
      <w:r w:rsidR="005B7310">
        <w:t xml:space="preserve"> skyldes en økt innsats </w:t>
      </w:r>
      <w:r w:rsidR="0013510B">
        <w:t xml:space="preserve">for å etablere </w:t>
      </w:r>
      <w:r w:rsidR="00E650ED">
        <w:t>den nye</w:t>
      </w:r>
      <w:r w:rsidR="0013510B">
        <w:t xml:space="preserve"> helseplattform</w:t>
      </w:r>
      <w:r w:rsidR="00E650ED">
        <w:t>en</w:t>
      </w:r>
      <w:r w:rsidR="0013510B">
        <w:t xml:space="preserve"> i Helse Midt</w:t>
      </w:r>
      <w:r w:rsidR="005B7310">
        <w:t>.</w:t>
      </w:r>
    </w:p>
    <w:p w14:paraId="58649BAC" w14:textId="14C62EDF" w:rsidR="00E41BBB" w:rsidRDefault="006D029A" w:rsidP="00BB30AE">
      <w:r>
        <w:t xml:space="preserve">Utviklingen i det totale IKT-kostnadsnivået ser ut til å flate ut i 2021 og </w:t>
      </w:r>
      <w:r w:rsidR="00746CB4">
        <w:t>nærmer</w:t>
      </w:r>
      <w:r w:rsidR="00E41BBB">
        <w:t xml:space="preserve"> seg det internasjonale gjennomsnittet.</w:t>
      </w:r>
      <w:r w:rsidR="00104620">
        <w:t xml:space="preserve"> </w:t>
      </w:r>
      <w:r w:rsidR="006975A6">
        <w:t xml:space="preserve">En </w:t>
      </w:r>
      <w:r w:rsidR="00104620">
        <w:t xml:space="preserve">av årsaken </w:t>
      </w:r>
      <w:r w:rsidR="000048AE">
        <w:t xml:space="preserve">er </w:t>
      </w:r>
      <w:r w:rsidR="00DC40D6">
        <w:t>a</w:t>
      </w:r>
      <w:r w:rsidR="00BD461E">
        <w:t>t de totale driftskostnadene i Helse Sør-Øst økte vesentlig mer enn IKT-kostnadene fra 2020 til 2021.</w:t>
      </w:r>
    </w:p>
    <w:p w14:paraId="6393AF25" w14:textId="4635DDFC" w:rsidR="00724B7A" w:rsidRDefault="00E41BBB" w:rsidP="00BB30AE">
      <w:r>
        <w:t xml:space="preserve">Utviklingen i helseregionenes </w:t>
      </w:r>
      <w:r w:rsidR="005461CB">
        <w:t xml:space="preserve">IKT-kostnad </w:t>
      </w:r>
      <w:r w:rsidR="00652038">
        <w:t xml:space="preserve">og </w:t>
      </w:r>
      <w:r w:rsidR="008A28E1">
        <w:t>-</w:t>
      </w:r>
      <w:r w:rsidR="00652038">
        <w:t xml:space="preserve">innsatsnivå </w:t>
      </w:r>
      <w:r w:rsidR="00611B3F">
        <w:t xml:space="preserve">de siste årene </w:t>
      </w:r>
      <w:r>
        <w:t xml:space="preserve">har i stor grad vært påvirket av </w:t>
      </w:r>
      <w:r w:rsidR="00611B3F">
        <w:t>standardiseringen og infrastrukturmoderniseringen i Helse Sør-Øst og utviklingen av den nye Helseplattformen i Helse Midt.</w:t>
      </w:r>
      <w:r w:rsidR="00D724B4">
        <w:t xml:space="preserve"> </w:t>
      </w:r>
      <w:r w:rsidR="0034074E">
        <w:t xml:space="preserve">Avhengig av eventuelle andre omfattende </w:t>
      </w:r>
      <w:r w:rsidR="00DE158B">
        <w:t>IKT-initiativer</w:t>
      </w:r>
      <w:r w:rsidR="0034074E">
        <w:t xml:space="preserve"> </w:t>
      </w:r>
      <w:r w:rsidR="0071567E">
        <w:t xml:space="preserve">antas </w:t>
      </w:r>
      <w:r w:rsidR="00DE158B">
        <w:t xml:space="preserve">det </w:t>
      </w:r>
      <w:r w:rsidR="0071567E">
        <w:t xml:space="preserve">at </w:t>
      </w:r>
      <w:r w:rsidR="00E64967">
        <w:t>nåværende</w:t>
      </w:r>
      <w:r w:rsidR="0071567E">
        <w:t xml:space="preserve"> IKT-kostnad</w:t>
      </w:r>
      <w:r w:rsidR="0026228E">
        <w:t>s</w:t>
      </w:r>
      <w:r w:rsidR="0071567E">
        <w:t xml:space="preserve">nivået i </w:t>
      </w:r>
      <w:r w:rsidR="00D724B4">
        <w:t xml:space="preserve">helseregionene </w:t>
      </w:r>
      <w:r w:rsidR="00627FBE">
        <w:t xml:space="preserve">vil </w:t>
      </w:r>
      <w:r w:rsidR="00E64967">
        <w:t>reduseres</w:t>
      </w:r>
      <w:r w:rsidR="009050F8">
        <w:t xml:space="preserve"> i årene fremover</w:t>
      </w:r>
      <w:r w:rsidR="00FB22D7">
        <w:t>,</w:t>
      </w:r>
      <w:r w:rsidR="009050F8">
        <w:t xml:space="preserve"> som følge</w:t>
      </w:r>
      <w:r w:rsidR="004C3787">
        <w:t xml:space="preserve"> av ferdigstilling og </w:t>
      </w:r>
      <w:r w:rsidR="00D131F5">
        <w:t>realisering av effekter</w:t>
      </w:r>
      <w:r w:rsidR="004C3787">
        <w:t xml:space="preserve"> fra disse initiativene</w:t>
      </w:r>
      <w:r w:rsidR="000971D6">
        <w:t xml:space="preserve"> og</w:t>
      </w:r>
      <w:r w:rsidR="000A7C1A">
        <w:t xml:space="preserve"> </w:t>
      </w:r>
      <w:r w:rsidR="000971D6">
        <w:t>eventuelle nedjusteringer i i</w:t>
      </w:r>
      <w:r w:rsidR="000A7C1A">
        <w:t>n</w:t>
      </w:r>
      <w:r w:rsidR="000971D6">
        <w:t>nsatsnivå</w:t>
      </w:r>
      <w:r w:rsidR="004C3787">
        <w:t>.</w:t>
      </w:r>
      <w:r w:rsidR="00A92E31">
        <w:t xml:space="preserve"> </w:t>
      </w:r>
    </w:p>
    <w:p w14:paraId="25F55D13" w14:textId="083847AA" w:rsidR="00622E31" w:rsidRDefault="00622E31">
      <w:pPr>
        <w:tabs>
          <w:tab w:val="clear" w:pos="357"/>
        </w:tabs>
        <w:spacing w:after="0" w:line="240" w:lineRule="auto"/>
      </w:pPr>
      <w:r>
        <w:br w:type="page"/>
      </w:r>
    </w:p>
    <w:p w14:paraId="6849FD4F" w14:textId="77777777" w:rsidR="00EB27B1" w:rsidRDefault="00EB27B1" w:rsidP="00EB27B1">
      <w:pPr>
        <w:pStyle w:val="Overskrift1"/>
      </w:pPr>
      <w:bookmarkStart w:id="32" w:name="_Toc120716814"/>
      <w:bookmarkStart w:id="33" w:name="_Toc120716876"/>
      <w:bookmarkStart w:id="34" w:name="_Toc120716815"/>
      <w:bookmarkStart w:id="35" w:name="_Toc120716877"/>
      <w:bookmarkStart w:id="36" w:name="_Toc120716816"/>
      <w:bookmarkStart w:id="37" w:name="_Toc120716878"/>
      <w:bookmarkStart w:id="38" w:name="_Toc120716817"/>
      <w:bookmarkStart w:id="39" w:name="_Toc120716879"/>
      <w:bookmarkStart w:id="40" w:name="_Toc120716818"/>
      <w:bookmarkStart w:id="41" w:name="_Toc120716880"/>
      <w:bookmarkStart w:id="42" w:name="_Toc120716819"/>
      <w:bookmarkStart w:id="43" w:name="_Toc120716881"/>
      <w:bookmarkStart w:id="44" w:name="_Toc120716820"/>
      <w:bookmarkStart w:id="45" w:name="_Toc120716882"/>
      <w:bookmarkStart w:id="46" w:name="_Toc120716821"/>
      <w:bookmarkStart w:id="47" w:name="_Toc120716883"/>
      <w:bookmarkStart w:id="48" w:name="_Toc120716822"/>
      <w:bookmarkStart w:id="49" w:name="_Toc120716884"/>
      <w:bookmarkStart w:id="50" w:name="_Toc119576399"/>
      <w:bookmarkStart w:id="51" w:name="_Toc119577209"/>
      <w:bookmarkStart w:id="52" w:name="_Toc119576403"/>
      <w:bookmarkStart w:id="53" w:name="_Toc119577213"/>
      <w:bookmarkStart w:id="54" w:name="_Toc119576407"/>
      <w:bookmarkStart w:id="55" w:name="_Toc119577217"/>
      <w:bookmarkStart w:id="56" w:name="_Toc119576408"/>
      <w:bookmarkStart w:id="57" w:name="_Toc119577218"/>
      <w:bookmarkStart w:id="58" w:name="_Toc119576409"/>
      <w:bookmarkStart w:id="59" w:name="_Toc119577219"/>
      <w:bookmarkStart w:id="60" w:name="_Toc119576410"/>
      <w:bookmarkStart w:id="61" w:name="_Toc119577220"/>
      <w:bookmarkStart w:id="62" w:name="_Toc117157010"/>
      <w:bookmarkStart w:id="63" w:name="_Toc120716823"/>
      <w:bookmarkStart w:id="64" w:name="_Toc120716885"/>
      <w:bookmarkStart w:id="65" w:name="_Toc120716824"/>
      <w:bookmarkStart w:id="66" w:name="_Toc120716886"/>
      <w:bookmarkStart w:id="67" w:name="_Toc120716825"/>
      <w:bookmarkStart w:id="68" w:name="_Toc120716887"/>
      <w:bookmarkStart w:id="69" w:name="_Toc120716826"/>
      <w:bookmarkStart w:id="70" w:name="_Toc120716888"/>
      <w:bookmarkStart w:id="71" w:name="_Toc120716827"/>
      <w:bookmarkStart w:id="72" w:name="_Toc120716889"/>
      <w:bookmarkStart w:id="73" w:name="_Toc120716828"/>
      <w:bookmarkStart w:id="74" w:name="_Toc120716890"/>
      <w:bookmarkStart w:id="75" w:name="_Toc120716829"/>
      <w:bookmarkStart w:id="76" w:name="_Toc120716891"/>
      <w:bookmarkStart w:id="77" w:name="_Toc120716830"/>
      <w:bookmarkStart w:id="78" w:name="_Toc120716892"/>
      <w:bookmarkStart w:id="79" w:name="_Toc120716831"/>
      <w:bookmarkStart w:id="80" w:name="_Toc120716893"/>
      <w:bookmarkStart w:id="81" w:name="_Toc120716832"/>
      <w:bookmarkStart w:id="82" w:name="_Toc120716894"/>
      <w:bookmarkStart w:id="83" w:name="_Toc120716833"/>
      <w:bookmarkStart w:id="84" w:name="_Toc120716895"/>
      <w:bookmarkStart w:id="85" w:name="_Toc120716834"/>
      <w:bookmarkStart w:id="86" w:name="_Toc120716896"/>
      <w:bookmarkStart w:id="87" w:name="_Toc120716835"/>
      <w:bookmarkStart w:id="88" w:name="_Toc120716897"/>
      <w:bookmarkStart w:id="89" w:name="_Toc120716836"/>
      <w:bookmarkStart w:id="90" w:name="_Toc120716898"/>
      <w:bookmarkStart w:id="91" w:name="_Toc120716837"/>
      <w:bookmarkStart w:id="92" w:name="_Toc120716899"/>
      <w:bookmarkStart w:id="93" w:name="_Toc120716838"/>
      <w:bookmarkStart w:id="94" w:name="_Toc120716900"/>
      <w:bookmarkStart w:id="95" w:name="_Toc121353882"/>
      <w:bookmarkStart w:id="96" w:name="_Toc121353883"/>
      <w:bookmarkStart w:id="97" w:name="_Toc121353884"/>
      <w:bookmarkStart w:id="98" w:name="_Toc121353885"/>
      <w:bookmarkStart w:id="99" w:name="_Toc121353886"/>
      <w:bookmarkStart w:id="100" w:name="_Toc121353887"/>
      <w:bookmarkStart w:id="101" w:name="_Toc121353888"/>
      <w:bookmarkStart w:id="102" w:name="_Toc121353889"/>
      <w:bookmarkStart w:id="103" w:name="_Toc121353890"/>
      <w:bookmarkStart w:id="104" w:name="_Toc121353891"/>
      <w:bookmarkStart w:id="105" w:name="_Toc121353892"/>
      <w:bookmarkStart w:id="106" w:name="_Toc121353893"/>
      <w:bookmarkStart w:id="107" w:name="_Toc121353894"/>
      <w:bookmarkStart w:id="108" w:name="_Toc121353895"/>
      <w:bookmarkStart w:id="109" w:name="_Toc121353896"/>
      <w:bookmarkStart w:id="110" w:name="_Toc121353897"/>
      <w:bookmarkStart w:id="111" w:name="_Toc121353898"/>
      <w:bookmarkStart w:id="112" w:name="_Toc14678454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lastRenderedPageBreak/>
        <w:t>Analyse og diskusjonspunkter</w:t>
      </w:r>
      <w:bookmarkEnd w:id="112"/>
    </w:p>
    <w:p w14:paraId="656FCE65" w14:textId="0A81BA94" w:rsidR="00EB27B1" w:rsidRDefault="00EB27B1" w:rsidP="00EB27B1">
      <w:r w:rsidRPr="000D6AF2">
        <w:rPr>
          <w:b/>
          <w:bCs/>
        </w:rPr>
        <w:t>Hensikten</w:t>
      </w:r>
      <w:r>
        <w:t xml:space="preserve"> med analysene i dette delkapitlet er å løfte opp et knippe viktige diskusjoner til det videre arbeidet med digitale helsetjenester og bruk av teknologi i sektoren gjennom å se </w:t>
      </w:r>
      <w:r w:rsidRPr="0033429C">
        <w:t xml:space="preserve">nærmere på </w:t>
      </w:r>
      <w:r>
        <w:t>sektorens ressursinnsats i 2021. Merk at analysene i dette kapitelet ikke har til hensikt å konkludere hva som vil være «korrekt» nivå og allokering av kostnader i sektor, men heller å løfte frem innsikt til beslutningstakere. Analysene for 2021 har sett nærmere på fire områder:</w:t>
      </w:r>
    </w:p>
    <w:p w14:paraId="0D4DD5D5" w14:textId="77777777" w:rsidR="00EB27B1" w:rsidRDefault="00EB27B1" w:rsidP="003C1BA8">
      <w:pPr>
        <w:pStyle w:val="Listeavsnitt"/>
        <w:numPr>
          <w:ilvl w:val="0"/>
          <w:numId w:val="39"/>
        </w:numPr>
      </w:pPr>
      <w:r>
        <w:t>Hva sektoren har søkt å oppnå med sine initiativer</w:t>
      </w:r>
    </w:p>
    <w:p w14:paraId="7E10F762" w14:textId="77777777" w:rsidR="00EB27B1" w:rsidRDefault="00EB27B1" w:rsidP="003C1BA8">
      <w:pPr>
        <w:pStyle w:val="Listeavsnitt"/>
        <w:numPr>
          <w:ilvl w:val="0"/>
          <w:numId w:val="39"/>
        </w:numPr>
      </w:pPr>
      <w:r>
        <w:t>Hvilke initiativer som utgjør sektorens transformasjonsfokus</w:t>
      </w:r>
    </w:p>
    <w:p w14:paraId="6BEF74D8" w14:textId="77777777" w:rsidR="00EB27B1" w:rsidRDefault="00EB27B1" w:rsidP="003C1BA8">
      <w:pPr>
        <w:pStyle w:val="Listeavsnitt"/>
        <w:numPr>
          <w:ilvl w:val="0"/>
          <w:numId w:val="39"/>
        </w:numPr>
      </w:pPr>
      <w:r>
        <w:t>Hvilke faktorer som påvirker sektorens utnyttelse av skyteknologi</w:t>
      </w:r>
    </w:p>
    <w:p w14:paraId="5C626140" w14:textId="46374320" w:rsidR="00EB27B1" w:rsidRDefault="00EB27B1" w:rsidP="003C1BA8">
      <w:pPr>
        <w:pStyle w:val="Listeavsnitt"/>
        <w:numPr>
          <w:ilvl w:val="0"/>
          <w:numId w:val="39"/>
        </w:numPr>
      </w:pPr>
      <w:r>
        <w:t>Hvordan sektoren har løst sine kompetansebehov innenfor applikasjonsområdet</w:t>
      </w:r>
    </w:p>
    <w:p w14:paraId="5116F425" w14:textId="77777777" w:rsidR="001E7646" w:rsidRDefault="001E7646" w:rsidP="00C33C86">
      <w:pPr>
        <w:pStyle w:val="Listeavsnitt"/>
      </w:pPr>
    </w:p>
    <w:p w14:paraId="728886E3" w14:textId="772371B7" w:rsidR="0006691D" w:rsidRDefault="0006691D" w:rsidP="00FA3715">
      <w:pPr>
        <w:pStyle w:val="Overskrift2"/>
      </w:pPr>
      <w:bookmarkStart w:id="113" w:name="_Toc121754762"/>
      <w:bookmarkStart w:id="114" w:name="_Toc121754763"/>
      <w:bookmarkStart w:id="115" w:name="_Toc121353901"/>
      <w:bookmarkStart w:id="116" w:name="_Toc146784545"/>
      <w:bookmarkEnd w:id="113"/>
      <w:bookmarkEnd w:id="114"/>
      <w:bookmarkEnd w:id="115"/>
      <w:r>
        <w:t>Hva har sektoren søkt å oppnå med IKT-ressursforbruket?</w:t>
      </w:r>
      <w:bookmarkEnd w:id="116"/>
    </w:p>
    <w:p w14:paraId="7FA1B184" w14:textId="77777777" w:rsidR="00677331" w:rsidRDefault="00677331" w:rsidP="0006691D"/>
    <w:p w14:paraId="3001164F" w14:textId="4143DA09" w:rsidR="00677331" w:rsidRPr="00557966" w:rsidRDefault="00B57B6F" w:rsidP="00677331">
      <w:pPr>
        <w:rPr>
          <w:b/>
          <w:bCs/>
        </w:rPr>
      </w:pPr>
      <w:r w:rsidRPr="00557966">
        <w:rPr>
          <w:b/>
          <w:bCs/>
        </w:rPr>
        <w:t>Nøkkelfunn</w:t>
      </w:r>
    </w:p>
    <w:p w14:paraId="3EEE4866" w14:textId="76D54A05" w:rsidR="00B57B6F" w:rsidRPr="00B57B6F" w:rsidRDefault="00B57B6F" w:rsidP="003C1BA8">
      <w:pPr>
        <w:pStyle w:val="Listeavsnitt"/>
        <w:numPr>
          <w:ilvl w:val="0"/>
          <w:numId w:val="34"/>
        </w:numPr>
        <w:pBdr>
          <w:top w:val="single" w:sz="4" w:space="1" w:color="auto"/>
          <w:left w:val="single" w:sz="4" w:space="4" w:color="auto"/>
          <w:bottom w:val="single" w:sz="4" w:space="1" w:color="auto"/>
          <w:right w:val="single" w:sz="4" w:space="4" w:color="auto"/>
        </w:pBdr>
        <w:shd w:val="clear" w:color="auto" w:fill="C7E0FF" w:themeFill="text1" w:themeFillTint="33"/>
      </w:pPr>
      <w:r w:rsidRPr="00B57B6F">
        <w:t xml:space="preserve">En relativt stor andel av innsatsen i sektoren er </w:t>
      </w:r>
      <w:proofErr w:type="gramStart"/>
      <w:r w:rsidRPr="00B57B6F">
        <w:t>fokusert</w:t>
      </w:r>
      <w:proofErr w:type="gramEnd"/>
      <w:r w:rsidRPr="00B57B6F">
        <w:t xml:space="preserve"> på grunnleggende innsatsområder, som EPJ, </w:t>
      </w:r>
      <w:r w:rsidR="00444337">
        <w:t>legemiddelløsninger</w:t>
      </w:r>
      <w:r w:rsidRPr="00B57B6F">
        <w:t>, helsedata og infrastruktur.</w:t>
      </w:r>
    </w:p>
    <w:p w14:paraId="565C4B0B" w14:textId="6F8595A7" w:rsidR="00B57B6F" w:rsidRPr="00B57B6F" w:rsidRDefault="00B57B6F" w:rsidP="003C1BA8">
      <w:pPr>
        <w:pStyle w:val="Listeavsnitt"/>
        <w:numPr>
          <w:ilvl w:val="0"/>
          <w:numId w:val="34"/>
        </w:numPr>
        <w:pBdr>
          <w:top w:val="single" w:sz="4" w:space="1" w:color="auto"/>
          <w:left w:val="single" w:sz="4" w:space="4" w:color="auto"/>
          <w:bottom w:val="single" w:sz="4" w:space="1" w:color="auto"/>
          <w:right w:val="single" w:sz="4" w:space="4" w:color="auto"/>
        </w:pBdr>
        <w:shd w:val="clear" w:color="auto" w:fill="C7E0FF" w:themeFill="text1" w:themeFillTint="33"/>
      </w:pPr>
      <w:r w:rsidRPr="00B57B6F">
        <w:t xml:space="preserve">Sektoren har et </w:t>
      </w:r>
      <w:proofErr w:type="gramStart"/>
      <w:r w:rsidRPr="00B57B6F">
        <w:t>fokus</w:t>
      </w:r>
      <w:proofErr w:type="gramEnd"/>
      <w:r w:rsidRPr="00B57B6F">
        <w:t xml:space="preserve"> på bedre utnyttelse av tilgjengelige ressurser gjennom tiltak med gevinster knyttet til effektivisering og helsedata</w:t>
      </w:r>
    </w:p>
    <w:p w14:paraId="61D52BB3" w14:textId="77777777" w:rsidR="00122C13" w:rsidRDefault="00122C13" w:rsidP="0006691D">
      <w:pPr>
        <w:rPr>
          <w:b/>
          <w:bCs/>
        </w:rPr>
      </w:pPr>
    </w:p>
    <w:p w14:paraId="0BDD4AED" w14:textId="009E71D5" w:rsidR="00B57B6F" w:rsidRPr="00557966" w:rsidRDefault="00EB39D2" w:rsidP="0006691D">
      <w:pPr>
        <w:rPr>
          <w:b/>
          <w:bCs/>
        </w:rPr>
      </w:pPr>
      <w:r>
        <w:rPr>
          <w:b/>
          <w:bCs/>
        </w:rPr>
        <w:t>Underbyggende a</w:t>
      </w:r>
      <w:r w:rsidR="00B57B6F" w:rsidRPr="00557966">
        <w:rPr>
          <w:b/>
          <w:bCs/>
        </w:rPr>
        <w:t>nalyse</w:t>
      </w:r>
    </w:p>
    <w:p w14:paraId="6A1C62BB" w14:textId="2348DF49" w:rsidR="00E24BF0" w:rsidRDefault="0006691D" w:rsidP="00E24BF0">
      <w:r>
        <w:t xml:space="preserve">IKT-ressurstall rapporten tar utgangspunkt i innrapporterte kostnadstall fra de regionale helseforetakene og nasjonale aktører i helseforvaltningen. Tallgrunnlaget inkluderer ikke rapportering på effekter, eller en granulert kategorisering av hvilke typer initiativer som har blitt gjennomført i sektoren. For å øke innsikt i hva sektoren søkte å oppnå med sitt IKT-ressursforbruk </w:t>
      </w:r>
      <w:r w:rsidR="0003448D">
        <w:t>er det</w:t>
      </w:r>
      <w:r>
        <w:t xml:space="preserve"> derfor gjort en gjennomgang av initiativer innrapportert </w:t>
      </w:r>
      <w:r w:rsidR="0015607E">
        <w:t xml:space="preserve">for 2021 </w:t>
      </w:r>
      <w:r>
        <w:t xml:space="preserve">som del av RGT-oppstillingen for sektoren. </w:t>
      </w:r>
      <w:r w:rsidR="00E24BF0">
        <w:t xml:space="preserve">Vi har i vår analyse gjort en gjennomgang av prosjektbeskrivelser, porteføljerapporter, årsberetninger og annen offentlig tilgjengelig informasjon for å få innsikt i </w:t>
      </w:r>
      <w:r w:rsidR="00D53FD5">
        <w:t>to</w:t>
      </w:r>
      <w:r w:rsidR="00E24BF0">
        <w:t xml:space="preserve"> dimensjoner: </w:t>
      </w:r>
    </w:p>
    <w:p w14:paraId="5E0497D1" w14:textId="218E3D45" w:rsidR="00E24BF0" w:rsidRDefault="00E24BF0" w:rsidP="003C1BA8">
      <w:pPr>
        <w:pStyle w:val="Listeavsnitt"/>
        <w:numPr>
          <w:ilvl w:val="0"/>
          <w:numId w:val="32"/>
        </w:numPr>
      </w:pPr>
      <w:r>
        <w:t xml:space="preserve">Hvilket </w:t>
      </w:r>
      <w:r w:rsidR="00B97910">
        <w:t>innsatsområde</w:t>
      </w:r>
      <w:r>
        <w:t xml:space="preserve"> initiativet støtter opp under</w:t>
      </w:r>
    </w:p>
    <w:p w14:paraId="6A45357D" w14:textId="77777777" w:rsidR="00E24BF0" w:rsidRDefault="00E24BF0" w:rsidP="003C1BA8">
      <w:pPr>
        <w:pStyle w:val="Listeavsnitt"/>
        <w:numPr>
          <w:ilvl w:val="0"/>
          <w:numId w:val="32"/>
        </w:numPr>
      </w:pPr>
      <w:r>
        <w:t>Hvilke ønskede effekter initiativet oppga</w:t>
      </w:r>
    </w:p>
    <w:p w14:paraId="0F4CB4E9" w14:textId="77777777" w:rsidR="00B97910" w:rsidRDefault="00B97910" w:rsidP="00E24BF0"/>
    <w:p w14:paraId="58EF5701" w14:textId="118B0CED" w:rsidR="007D7EA0" w:rsidRDefault="0096286F" w:rsidP="00E92F88">
      <w:r>
        <w:t>Det totale kostnadsgrunnlaget, inklusive driftskostnader, innhentet for 2021, er på 12,7 milliarder</w:t>
      </w:r>
      <w:r w:rsidR="00E701C1">
        <w:t xml:space="preserve"> kroner</w:t>
      </w:r>
      <w:r w:rsidR="007D7EA0">
        <w:t xml:space="preserve">. </w:t>
      </w:r>
      <w:r w:rsidR="00795791">
        <w:t>Av dette er det rapportert inn prosjektkostnader på 5,3 milliarder kroner, fordelt på 948 initiativer.</w:t>
      </w:r>
    </w:p>
    <w:p w14:paraId="56B36C61" w14:textId="4727D4B8" w:rsidR="00E92F88" w:rsidRDefault="0096286F" w:rsidP="00E92F88">
      <w:r>
        <w:t>D</w:t>
      </w:r>
      <w:r w:rsidR="00311734">
        <w:t xml:space="preserve">enne delen av analysen ser </w:t>
      </w:r>
      <w:r>
        <w:t xml:space="preserve">kun </w:t>
      </w:r>
      <w:r w:rsidR="00311734">
        <w:t xml:space="preserve">på </w:t>
      </w:r>
      <w:r w:rsidR="009F5ECF">
        <w:t>prosjektkostnader</w:t>
      </w:r>
      <w:r w:rsidR="001C26DE">
        <w:t xml:space="preserve">, og </w:t>
      </w:r>
      <w:r w:rsidR="00C311F7">
        <w:t xml:space="preserve">kun </w:t>
      </w:r>
      <w:r w:rsidR="001206E9">
        <w:t xml:space="preserve">initiativ med et kostandsomfang over </w:t>
      </w:r>
      <w:r w:rsidR="00E92F88">
        <w:t>10 millioner</w:t>
      </w:r>
      <w:r w:rsidR="00B60AC5">
        <w:t xml:space="preserve"> kroner</w:t>
      </w:r>
      <w:r w:rsidR="00E92F88">
        <w:t>.</w:t>
      </w:r>
      <w:r w:rsidR="009F5ECF">
        <w:t xml:space="preserve"> </w:t>
      </w:r>
      <w:r w:rsidR="001C26DE">
        <w:t xml:space="preserve"> </w:t>
      </w:r>
      <w:r w:rsidR="00E92F88">
        <w:t xml:space="preserve">Dette utgjør 100 initiativer (10,5% av totalt antall </w:t>
      </w:r>
      <w:r w:rsidR="00E92F88">
        <w:lastRenderedPageBreak/>
        <w:t>initiativer) og 4,5 milliarder i prosjektkostnader (85% av de totale IKT-prosjektkostnadene) for 2021.</w:t>
      </w:r>
      <w:r w:rsidR="00C311F7">
        <w:t xml:space="preserve"> </w:t>
      </w:r>
      <w:r w:rsidR="00BC1639">
        <w:t>Utvalget er gjort for å få en tilstrekkelig detaljert innsikt i</w:t>
      </w:r>
      <w:r w:rsidR="00006B99">
        <w:t xml:space="preserve"> initiativene. </w:t>
      </w:r>
    </w:p>
    <w:p w14:paraId="249C507E" w14:textId="40328A59" w:rsidR="0006691D" w:rsidRDefault="005716CA" w:rsidP="00557966">
      <w:pPr>
        <w:spacing w:before="240"/>
      </w:pPr>
      <w:r>
        <w:t>Merk at n</w:t>
      </w:r>
      <w:r w:rsidR="0006691D">
        <w:t xml:space="preserve">oen av de største initiativene i sektoren er rene driftsrelaterte investeringer i infrastruktur og sluttbrukerutstyr der det ikke er oppgitt effektmål eller gevinster. Disse </w:t>
      </w:r>
      <w:r>
        <w:t>initiativene er ikke tatt med i den delen av vår analyse som adresserer effekter og gevinster.</w:t>
      </w:r>
      <w:r w:rsidDel="005716CA">
        <w:t xml:space="preserve"> </w:t>
      </w:r>
    </w:p>
    <w:p w14:paraId="1BC8AE18" w14:textId="5C7F5925" w:rsidR="0006691D" w:rsidRDefault="0006691D" w:rsidP="0006691D">
      <w:r>
        <w:t xml:space="preserve">Det største </w:t>
      </w:r>
      <w:r w:rsidR="008F0F0A">
        <w:t>innsatsområdet</w:t>
      </w:r>
      <w:r w:rsidR="008F0F0A" w:rsidDel="008F0F0A">
        <w:t xml:space="preserve"> </w:t>
      </w:r>
      <w:r>
        <w:t xml:space="preserve">i vårt datasett </w:t>
      </w:r>
      <w:r w:rsidR="00B71FBA">
        <w:t>var</w:t>
      </w:r>
      <w:r>
        <w:t xml:space="preserve"> EPJ, </w:t>
      </w:r>
      <w:r w:rsidR="00AD1163">
        <w:t>I</w:t>
      </w:r>
      <w:r w:rsidR="00011230">
        <w:t>nitiativer</w:t>
      </w:r>
      <w:r w:rsidR="008F0F0A">
        <w:t xml:space="preserve"> relatert til dette området</w:t>
      </w:r>
      <w:r w:rsidR="00011230">
        <w:t xml:space="preserve"> utgjorde</w:t>
      </w:r>
      <w:r>
        <w:t xml:space="preserve"> 24% av de analyserte prosjektkostnadene</w:t>
      </w:r>
      <w:r w:rsidR="0030390D">
        <w:t>,</w:t>
      </w:r>
      <w:r>
        <w:t xml:space="preserve"> med samlede prosjektkostnader på 1,1</w:t>
      </w:r>
      <w:r w:rsidR="00FE4CBB">
        <w:t xml:space="preserve"> </w:t>
      </w:r>
      <w:r>
        <w:t>milliard</w:t>
      </w:r>
      <w:r w:rsidR="00FE4CBB">
        <w:t xml:space="preserve"> kroner</w:t>
      </w:r>
      <w:r>
        <w:t xml:space="preserve">. </w:t>
      </w:r>
      <w:r w:rsidR="00FD2A37">
        <w:t>D</w:t>
      </w:r>
      <w:r>
        <w:t xml:space="preserve">et største </w:t>
      </w:r>
      <w:r w:rsidR="003F50A8">
        <w:t>initiativet var</w:t>
      </w:r>
      <w:r>
        <w:t xml:space="preserve"> Helseplattformen, som er et omfattende plattforminitiativ med funksjonalitet som strekker seg utover tradisjonell EPJ. Initiativet sto for kostnader på 284 millioner</w:t>
      </w:r>
      <w:r w:rsidR="00B11279">
        <w:t xml:space="preserve"> kroner</w:t>
      </w:r>
      <w:r>
        <w:t xml:space="preserve">, tilsvarende 5% av de analyserte prosjektkostnadene. </w:t>
      </w:r>
    </w:p>
    <w:p w14:paraId="34B4767F" w14:textId="77777777" w:rsidR="00456312" w:rsidRDefault="0006691D" w:rsidP="00456312">
      <w:pPr>
        <w:keepNext/>
      </w:pPr>
      <w:r>
        <w:rPr>
          <w:noProof/>
        </w:rPr>
        <w:drawing>
          <wp:inline distT="0" distB="0" distL="0" distR="0" wp14:anchorId="0A9455A2" wp14:editId="51F5DA04">
            <wp:extent cx="5042466" cy="2762250"/>
            <wp:effectExtent l="0" t="0" r="6350" b="0"/>
            <wp:docPr id="197" name="Picture 197" descr="Søylediagram som viser fordelingen av Run, Grow og Transform kostander for 2021 fordelt på utledede innsatsområ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øylediagram som viser fordelingen av Run, Grow og Transform kostander for 2021 fordelt på utledede innsatsområder. "/>
                    <pic:cNvPicPr/>
                  </pic:nvPicPr>
                  <pic:blipFill>
                    <a:blip r:embed="rId22"/>
                    <a:stretch>
                      <a:fillRect/>
                    </a:stretch>
                  </pic:blipFill>
                  <pic:spPr>
                    <a:xfrm>
                      <a:off x="0" y="0"/>
                      <a:ext cx="5061218" cy="2772522"/>
                    </a:xfrm>
                    <a:prstGeom prst="rect">
                      <a:avLst/>
                    </a:prstGeom>
                  </pic:spPr>
                </pic:pic>
              </a:graphicData>
            </a:graphic>
          </wp:inline>
        </w:drawing>
      </w:r>
    </w:p>
    <w:p w14:paraId="36A204F8" w14:textId="54BD2EE4" w:rsidR="00B208C3" w:rsidRDefault="00456312"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9</w:t>
      </w:r>
      <w:r w:rsidR="00DC6F8E">
        <w:rPr>
          <w:noProof/>
        </w:rPr>
        <w:fldChar w:fldCharType="end"/>
      </w:r>
      <w:r>
        <w:t xml:space="preserve">: Fordeling av Run-, </w:t>
      </w:r>
      <w:proofErr w:type="spellStart"/>
      <w:r>
        <w:t>Grow</w:t>
      </w:r>
      <w:proofErr w:type="spellEnd"/>
      <w:r>
        <w:t>- og Transformkostnader for 2021 i innsatsområder</w:t>
      </w:r>
    </w:p>
    <w:p w14:paraId="27935B39" w14:textId="33CFDDEB" w:rsidR="0006691D" w:rsidRDefault="0006691D" w:rsidP="0006691D">
      <w:r>
        <w:t xml:space="preserve">Utover EPJ hadde sektoren mye innsats knyttet til helsedata, infrastruktur og </w:t>
      </w:r>
      <w:r w:rsidR="0015607E">
        <w:t>legemiddelområdet</w:t>
      </w:r>
      <w:r>
        <w:t xml:space="preserve">, med prosjektkostnader på henholdsvis 693 </w:t>
      </w:r>
      <w:r w:rsidR="00B11279">
        <w:t>millioner kroner</w:t>
      </w:r>
      <w:r>
        <w:t xml:space="preserve">, 474 </w:t>
      </w:r>
      <w:r w:rsidR="00B11279">
        <w:t>millioner kroner</w:t>
      </w:r>
      <w:r>
        <w:t xml:space="preserve"> og 399 </w:t>
      </w:r>
      <w:r w:rsidR="00B11279">
        <w:t>millioner kroner</w:t>
      </w:r>
      <w:r>
        <w:t xml:space="preserve">. Disse fire områdene utgjør totalt 57% av de analyserte kostnadene. </w:t>
      </w:r>
      <w:r w:rsidR="008B3D68">
        <w:t>Kostnader knyttet til</w:t>
      </w:r>
      <w:r>
        <w:t xml:space="preserve"> sluttbrukerutstyr og infrastruktur stod samlet for kostnader på 857 </w:t>
      </w:r>
      <w:r w:rsidR="00B11279">
        <w:t>millioner kroner</w:t>
      </w:r>
      <w:r>
        <w:t xml:space="preserve">, tilsvarende 19% av de analyserte kostnadene. </w:t>
      </w:r>
      <w:r w:rsidR="000905AE">
        <w:t>P</w:t>
      </w:r>
      <w:r>
        <w:t xml:space="preserve">rosjektkostnader innen innbyggerområdet </w:t>
      </w:r>
      <w:r w:rsidR="000905AE">
        <w:t xml:space="preserve">utgjorde </w:t>
      </w:r>
      <w:r>
        <w:t xml:space="preserve">161 </w:t>
      </w:r>
      <w:r w:rsidR="00B11279">
        <w:t>millioner kroner</w:t>
      </w:r>
      <w:r>
        <w:t>, tilsvarende 4% av de analyserte prosjektkostnadene.</w:t>
      </w:r>
    </w:p>
    <w:p w14:paraId="5B1F6DDA" w14:textId="53AFE2EA" w:rsidR="0006691D" w:rsidRDefault="0006691D" w:rsidP="0006691D">
      <w:pPr>
        <w:spacing w:before="240"/>
      </w:pPr>
      <w:r>
        <w:t xml:space="preserve">I vår analyse av </w:t>
      </w:r>
      <w:r w:rsidR="00DE670F">
        <w:t xml:space="preserve">sektorens </w:t>
      </w:r>
      <w:r w:rsidR="00B16EDC">
        <w:t>IKT-</w:t>
      </w:r>
      <w:r w:rsidR="00DE670F">
        <w:t>innsats</w:t>
      </w:r>
      <w:r w:rsidR="00502989">
        <w:t>,</w:t>
      </w:r>
      <w:r w:rsidR="00DE670F">
        <w:t xml:space="preserve"> </w:t>
      </w:r>
      <w:r>
        <w:t xml:space="preserve">har </w:t>
      </w:r>
      <w:r w:rsidR="00F617C2">
        <w:t xml:space="preserve">vi </w:t>
      </w:r>
      <w:r>
        <w:t xml:space="preserve">gjort en gjennomgang av </w:t>
      </w:r>
      <w:r w:rsidR="002226E0">
        <w:t xml:space="preserve">de ulike initiativenes </w:t>
      </w:r>
      <w:r>
        <w:t>forventede effekter og samlet disse i syv overordnede gevinstkategorier</w:t>
      </w:r>
      <w:r w:rsidR="00236923">
        <w:t>.</w:t>
      </w:r>
      <w:r w:rsidR="00F617C2">
        <w:t xml:space="preserve"> Analysemodellen er </w:t>
      </w:r>
      <w:r w:rsidR="00314B8E">
        <w:t>en ny modell</w:t>
      </w:r>
      <w:r w:rsidR="00F617C2">
        <w:t xml:space="preserve"> utviklet av Direktoratet for e-</w:t>
      </w:r>
      <w:proofErr w:type="spellStart"/>
      <w:r w:rsidR="00F617C2">
        <w:t>ehelse</w:t>
      </w:r>
      <w:proofErr w:type="spellEnd"/>
      <w:r w:rsidR="00F617C2">
        <w:t xml:space="preserve"> basert på innsamlet data uten direkte involvering fra aktørene.</w:t>
      </w:r>
      <w:r w:rsidR="00236923">
        <w:t xml:space="preserve"> </w:t>
      </w:r>
      <w:r w:rsidR="00F02066">
        <w:t xml:space="preserve">I analysemodellen </w:t>
      </w:r>
      <w:r w:rsidR="007F73AE">
        <w:t>kan e</w:t>
      </w:r>
      <w:r w:rsidR="006719A7">
        <w:t xml:space="preserve">t </w:t>
      </w:r>
      <w:r w:rsidR="003F0323">
        <w:t>initiativ være</w:t>
      </w:r>
      <w:r w:rsidR="006553DC">
        <w:t xml:space="preserve"> knyttet til flere </w:t>
      </w:r>
      <w:r w:rsidR="006F14F1">
        <w:t>gevinst</w:t>
      </w:r>
      <w:r>
        <w:t xml:space="preserve">kategorier. Den tilgjengelige informasjonen inneholder i liten grad kvantifiserbare gevinstbeskrivelser, og vi har derfor sett på antall </w:t>
      </w:r>
      <w:r w:rsidR="00236923">
        <w:t>initiativer</w:t>
      </w:r>
      <w:r>
        <w:t xml:space="preserve"> som har støttet opp under hver gevinstkategori, uten å vekte dette mot initiativets kostnader</w:t>
      </w:r>
      <w:r w:rsidR="00B12B1A">
        <w:t xml:space="preserve"> eller forventet størrelse på gevinstene</w:t>
      </w:r>
      <w:r>
        <w:t>.</w:t>
      </w:r>
    </w:p>
    <w:p w14:paraId="5FC61D5C" w14:textId="49A5F80A" w:rsidR="0006691D" w:rsidRDefault="0006691D" w:rsidP="0006691D"/>
    <w:p w14:paraId="194E1DC9" w14:textId="77777777" w:rsidR="00456312" w:rsidRDefault="0006691D" w:rsidP="00456312">
      <w:pPr>
        <w:keepNext/>
      </w:pPr>
      <w:r>
        <w:rPr>
          <w:noProof/>
        </w:rPr>
        <w:lastRenderedPageBreak/>
        <w:drawing>
          <wp:inline distT="0" distB="0" distL="0" distR="0" wp14:anchorId="0DDEDDED" wp14:editId="5A4AFBE4">
            <wp:extent cx="5423096" cy="2312478"/>
            <wp:effectExtent l="0" t="0" r="6350" b="0"/>
            <wp:docPr id="209" name="Bilde 23" descr="Liggende søylediagram som viser inndelingen, basert på antall, av effekter oppgitt av invitiater med en kostandsramme på over 10 mill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ilde 23" descr="Liggende søylediagram som viser inndelingen, basert på antall, av effekter oppgitt av invitiater med en kostandsramme på over 10 millioner."/>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96BED62-6DFD-4C0C-BB04-565C8185524B}"/>
                        </a:ext>
                      </a:extLst>
                    </a:blip>
                    <a:srcRect l="26" r="26"/>
                    <a:stretch>
                      <a:fillRect/>
                    </a:stretch>
                  </pic:blipFill>
                  <pic:spPr>
                    <a:xfrm>
                      <a:off x="0" y="0"/>
                      <a:ext cx="5423096" cy="2312478"/>
                    </a:xfrm>
                    <a:prstGeom prst="rect">
                      <a:avLst/>
                    </a:prstGeom>
                  </pic:spPr>
                </pic:pic>
              </a:graphicData>
            </a:graphic>
          </wp:inline>
        </w:drawing>
      </w:r>
    </w:p>
    <w:p w14:paraId="5B43E31D" w14:textId="0414E13D" w:rsidR="00B208C3" w:rsidRDefault="00456312"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10</w:t>
      </w:r>
      <w:r w:rsidR="00DC6F8E">
        <w:rPr>
          <w:noProof/>
        </w:rPr>
        <w:fldChar w:fldCharType="end"/>
      </w:r>
      <w:r>
        <w:t>: Inndeling av forventede effekter oppgitt av initiativer med kostnadsramme over 10 millioner kroner i gevinstkategorier</w:t>
      </w:r>
    </w:p>
    <w:p w14:paraId="01CC0DEE" w14:textId="73F8C05E" w:rsidR="0006691D" w:rsidRDefault="0006691D" w:rsidP="0006691D">
      <w:r>
        <w:t>Analysen</w:t>
      </w:r>
      <w:r w:rsidR="00AD025F">
        <w:t xml:space="preserve"> av effekter og gevinstområder</w:t>
      </w:r>
      <w:r>
        <w:t xml:space="preserve"> vis</w:t>
      </w:r>
      <w:r w:rsidR="00990BB1">
        <w:t>er</w:t>
      </w:r>
      <w:r>
        <w:t xml:space="preserve"> at sektoren har et tydelig </w:t>
      </w:r>
      <w:proofErr w:type="gramStart"/>
      <w:r>
        <w:t>fokus</w:t>
      </w:r>
      <w:proofErr w:type="gramEnd"/>
      <w:r>
        <w:t xml:space="preserve"> på effektiviseringsgevinster og gevinster knyttet til data, der henholdsvis 51% og 33% av initiativene i analysen adresserer disse kategoriene. Den tredje hyppigste gevinstkategorien </w:t>
      </w:r>
      <w:r w:rsidR="0070792E">
        <w:t xml:space="preserve">i vår analyse </w:t>
      </w:r>
      <w:r>
        <w:t xml:space="preserve">var knyttet til økt kvalitet på helsetjenester (27%). </w:t>
      </w:r>
    </w:p>
    <w:p w14:paraId="79700A3F" w14:textId="61333AF0" w:rsidR="00ED6351" w:rsidRDefault="00B208C3" w:rsidP="0006691D">
      <w:r>
        <w:rPr>
          <w:noProof/>
        </w:rPr>
        <w:drawing>
          <wp:anchor distT="0" distB="0" distL="114300" distR="114300" simplePos="0" relativeHeight="251658240" behindDoc="0" locked="0" layoutInCell="1" allowOverlap="1" wp14:anchorId="61AE15E9" wp14:editId="387F224B">
            <wp:simplePos x="0" y="0"/>
            <wp:positionH relativeFrom="margin">
              <wp:align>right</wp:align>
            </wp:positionH>
            <wp:positionV relativeFrom="paragraph">
              <wp:posOffset>6350</wp:posOffset>
            </wp:positionV>
            <wp:extent cx="2717165" cy="2766060"/>
            <wp:effectExtent l="0" t="0" r="0" b="0"/>
            <wp:wrapSquare wrapText="bothSides"/>
            <wp:docPr id="210" name="Picture 210" descr="Grafisk framstilling, i form av sirkler, som viser overlappen mellom de forskjellige forventede effektene. De fire områdene som er viktigst er Data, Effektivisering, Økt kvalitet, og Pasientsikker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fisk framstilling, i form av sirkler, som viser overlappen mellom de forskjellige forventede effektene. De fire områdene som er viktigst er Data, Effektivisering, Økt kvalitet, og Pasientsikkerhet. "/>
                    <pic:cNvPicPr>
                      <a:picLocks noChangeAspect="1" noChangeArrowheads="1"/>
                    </pic:cNvPicPr>
                  </pic:nvPicPr>
                  <pic:blipFill rotWithShape="1">
                    <a:blip r:embed="rId24">
                      <a:extLst>
                        <a:ext uri="{28A0092B-C50C-407E-A947-70E740481C1C}">
                          <a14:useLocalDpi xmlns:a14="http://schemas.microsoft.com/office/drawing/2010/main" val="0"/>
                        </a:ext>
                      </a:extLst>
                    </a:blip>
                    <a:srcRect l="24876" t="11528" r="18182"/>
                    <a:stretch/>
                  </pic:blipFill>
                  <pic:spPr bwMode="auto">
                    <a:xfrm>
                      <a:off x="0" y="0"/>
                      <a:ext cx="2717165" cy="276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91D">
        <w:t xml:space="preserve">Når vi ser på overlappet mellom de ulike gevinstkategoriene, </w:t>
      </w:r>
      <w:r w:rsidR="006637AC">
        <w:t>blir spesielt overlappet</w:t>
      </w:r>
      <w:r w:rsidR="0006691D">
        <w:t xml:space="preserve"> mellom </w:t>
      </w:r>
      <w:r w:rsidR="008B3D68">
        <w:t xml:space="preserve">kategorien for bedre bruk av </w:t>
      </w:r>
      <w:r w:rsidR="0006691D">
        <w:t>data og andre gevinstkategorier</w:t>
      </w:r>
      <w:r w:rsidR="006637AC">
        <w:t xml:space="preserve"> synlig</w:t>
      </w:r>
      <w:r w:rsidR="0006691D">
        <w:t xml:space="preserve">. Særlig interessant er overlappene mellom datagevinster og effektiviseringsgevinster (49%), pasientsikkerhet (79%) og økt kvalitet på helsetjenester (40%). </w:t>
      </w:r>
    </w:p>
    <w:p w14:paraId="0C3F07F4" w14:textId="6FF98E7F" w:rsidR="0006691D" w:rsidRDefault="00ED6351" w:rsidP="0006691D">
      <w:r>
        <w:t>Samlet kan d</w:t>
      </w:r>
      <w:r w:rsidR="0006691D">
        <w:t xml:space="preserve">ette </w:t>
      </w:r>
      <w:r w:rsidR="00FF4107">
        <w:t>indikere</w:t>
      </w:r>
      <w:r w:rsidR="0006691D">
        <w:t xml:space="preserve"> at det er </w:t>
      </w:r>
      <w:r w:rsidR="00286D8E">
        <w:t xml:space="preserve">et </w:t>
      </w:r>
      <w:r w:rsidR="00FF4107">
        <w:t xml:space="preserve">tydelig felles fokus i sektoren på gevinster knyttet til effektivisering og data. Videre ser det ut til å være </w:t>
      </w:r>
      <w:proofErr w:type="gramStart"/>
      <w:r w:rsidR="00827984">
        <w:t>et stort potensiale</w:t>
      </w:r>
      <w:proofErr w:type="gramEnd"/>
      <w:r w:rsidR="0006691D">
        <w:t xml:space="preserve"> </w:t>
      </w:r>
      <w:r w:rsidR="004C5503">
        <w:t xml:space="preserve">knyttet </w:t>
      </w:r>
      <w:r w:rsidR="00286D8E">
        <w:t xml:space="preserve">til </w:t>
      </w:r>
      <w:r w:rsidR="00E45FD8">
        <w:t>de pågående grepene</w:t>
      </w:r>
      <w:r w:rsidR="0006691D">
        <w:t xml:space="preserve"> for å forbedre datakvalitet, -bruk og -tilgjengelighet for sektoren.</w:t>
      </w:r>
      <w:r w:rsidR="004C5503">
        <w:t xml:space="preserve"> </w:t>
      </w:r>
    </w:p>
    <w:p w14:paraId="6920E0BA" w14:textId="5182D638" w:rsidR="0006691D" w:rsidRDefault="003750F0" w:rsidP="0006691D">
      <w:r>
        <w:rPr>
          <w:noProof/>
        </w:rPr>
        <mc:AlternateContent>
          <mc:Choice Requires="wps">
            <w:drawing>
              <wp:anchor distT="0" distB="0" distL="114300" distR="114300" simplePos="0" relativeHeight="251664394" behindDoc="0" locked="0" layoutInCell="1" allowOverlap="1" wp14:anchorId="36AA1EFF" wp14:editId="0C5A00CD">
                <wp:simplePos x="0" y="0"/>
                <wp:positionH relativeFrom="column">
                  <wp:posOffset>3111261</wp:posOffset>
                </wp:positionH>
                <wp:positionV relativeFrom="paragraph">
                  <wp:posOffset>13790</wp:posOffset>
                </wp:positionV>
                <wp:extent cx="2717165" cy="63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717165" cy="635"/>
                        </a:xfrm>
                        <a:prstGeom prst="rect">
                          <a:avLst/>
                        </a:prstGeom>
                        <a:solidFill>
                          <a:prstClr val="white"/>
                        </a:solidFill>
                        <a:ln>
                          <a:noFill/>
                        </a:ln>
                      </wps:spPr>
                      <wps:txbx>
                        <w:txbxContent>
                          <w:p w14:paraId="182DD118" w14:textId="1EA59A22" w:rsidR="003750F0" w:rsidRPr="00611DE5" w:rsidRDefault="00456312" w:rsidP="00CD3270">
                            <w:pPr>
                              <w:pStyle w:val="Bildetekst"/>
                              <w:rPr>
                                <w:noProof/>
                              </w:rPr>
                            </w:pPr>
                            <w:r>
                              <w:t xml:space="preserve">Figur </w:t>
                            </w:r>
                            <w:r w:rsidR="00DC6F8E">
                              <w:fldChar w:fldCharType="begin"/>
                            </w:r>
                            <w:r w:rsidR="00DC6F8E">
                              <w:instrText xml:space="preserve"> SEQ Figur \* ARA</w:instrText>
                            </w:r>
                            <w:r w:rsidR="00DC6F8E">
                              <w:instrText xml:space="preserve">BIC </w:instrText>
                            </w:r>
                            <w:r w:rsidR="00DC6F8E">
                              <w:fldChar w:fldCharType="separate"/>
                            </w:r>
                            <w:r w:rsidR="00943236">
                              <w:rPr>
                                <w:noProof/>
                              </w:rPr>
                              <w:t>11</w:t>
                            </w:r>
                            <w:r w:rsidR="00DC6F8E">
                              <w:rPr>
                                <w:noProof/>
                              </w:rPr>
                              <w:fldChar w:fldCharType="end"/>
                            </w:r>
                            <w:r w:rsidR="003750F0">
                              <w:t>: Initiativer som oppga effekter knyttet til bedre bruk av data</w:t>
                            </w:r>
                            <w:r w:rsidR="003750F0">
                              <w:rPr>
                                <w:noProof/>
                              </w:rPr>
                              <w:t xml:space="preserve"> oppga også ofte gevinster knyttet til effektivisering, pasientsikkerhet og økt kvalitet på helsetjenester</w:t>
                            </w:r>
                          </w:p>
                          <w:p w14:paraId="79976EE3" w14:textId="30BB33A7" w:rsidR="00456312" w:rsidRPr="00A30DE3" w:rsidRDefault="00456312" w:rsidP="00CD3270">
                            <w:pPr>
                              <w:pStyle w:val="Bildeteks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AA1EFF" id="Tekstboks 1" o:spid="_x0000_s1028" type="#_x0000_t202" style="position:absolute;margin-left:245pt;margin-top:1.1pt;width:213.95pt;height:.05pt;z-index:251664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RFGg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29ntbHHDmSTf4uNN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" stroked="f">
                <v:textbox style="mso-fit-shape-to-text:t" inset="0,0,0,0">
                  <w:txbxContent>
                    <w:p w14:paraId="182DD118" w14:textId="1EA59A22" w:rsidR="003750F0" w:rsidRPr="00611DE5" w:rsidRDefault="00456312" w:rsidP="00CD3270">
                      <w:pPr>
                        <w:pStyle w:val="Bildetekst"/>
                        <w:rPr>
                          <w:noProof/>
                        </w:rPr>
                      </w:pPr>
                      <w:r>
                        <w:t xml:space="preserve">Figur </w:t>
                      </w:r>
                      <w:r w:rsidR="00DC6F8E">
                        <w:fldChar w:fldCharType="begin"/>
                      </w:r>
                      <w:r w:rsidR="00DC6F8E">
                        <w:instrText xml:space="preserve"> SEQ Figur \* ARA</w:instrText>
                      </w:r>
                      <w:r w:rsidR="00DC6F8E">
                        <w:instrText xml:space="preserve">BIC </w:instrText>
                      </w:r>
                      <w:r w:rsidR="00DC6F8E">
                        <w:fldChar w:fldCharType="separate"/>
                      </w:r>
                      <w:r w:rsidR="00943236">
                        <w:rPr>
                          <w:noProof/>
                        </w:rPr>
                        <w:t>11</w:t>
                      </w:r>
                      <w:r w:rsidR="00DC6F8E">
                        <w:rPr>
                          <w:noProof/>
                        </w:rPr>
                        <w:fldChar w:fldCharType="end"/>
                      </w:r>
                      <w:r w:rsidR="003750F0">
                        <w:t>: Initiativer som oppga effekter knyttet til bedre bruk av data</w:t>
                      </w:r>
                      <w:r w:rsidR="003750F0">
                        <w:rPr>
                          <w:noProof/>
                        </w:rPr>
                        <w:t xml:space="preserve"> oppga også ofte gevinster knyttet til effektivisering, pasientsikkerhet og økt kvalitet på helsetjenester</w:t>
                      </w:r>
                    </w:p>
                    <w:p w14:paraId="79976EE3" w14:textId="30BB33A7" w:rsidR="00456312" w:rsidRPr="00A30DE3" w:rsidRDefault="00456312" w:rsidP="00CD3270">
                      <w:pPr>
                        <w:pStyle w:val="Bildetekst"/>
                        <w:rPr>
                          <w:noProof/>
                        </w:rPr>
                      </w:pPr>
                    </w:p>
                  </w:txbxContent>
                </v:textbox>
                <w10:wrap type="square"/>
              </v:shape>
            </w:pict>
          </mc:Fallback>
        </mc:AlternateContent>
      </w:r>
      <w:r w:rsidR="0006691D">
        <w:t xml:space="preserve">Et annet interessant funn var at kun 10% av initiativene oppga kostnadsbesparelser som en direkteeffekt av initiativet. </w:t>
      </w:r>
      <w:r w:rsidR="00DD0EB4">
        <w:t xml:space="preserve">Dette er interessant </w:t>
      </w:r>
      <w:r w:rsidR="007F325C">
        <w:t xml:space="preserve">da </w:t>
      </w:r>
      <w:r w:rsidR="007D6A4A">
        <w:t>funne</w:t>
      </w:r>
      <w:r w:rsidR="00103409">
        <w:t>t</w:t>
      </w:r>
      <w:r w:rsidR="007F325C">
        <w:t xml:space="preserve"> isolert kan indikere at </w:t>
      </w:r>
      <w:r w:rsidR="0080197B">
        <w:t>aktørene</w:t>
      </w:r>
      <w:r w:rsidR="0004596E">
        <w:t xml:space="preserve"> i </w:t>
      </w:r>
      <w:r w:rsidR="007F325C">
        <w:t>sektoren</w:t>
      </w:r>
      <w:r w:rsidR="007A184A">
        <w:t xml:space="preserve"> </w:t>
      </w:r>
      <w:r w:rsidR="00A427DA">
        <w:t>har</w:t>
      </w:r>
      <w:r w:rsidR="00815DAA">
        <w:t xml:space="preserve"> hatt</w:t>
      </w:r>
      <w:r w:rsidR="00A427DA">
        <w:t xml:space="preserve"> et større </w:t>
      </w:r>
      <w:proofErr w:type="gramStart"/>
      <w:r w:rsidR="00A0373A">
        <w:t>fokus</w:t>
      </w:r>
      <w:proofErr w:type="gramEnd"/>
      <w:r w:rsidR="00A0373A">
        <w:t xml:space="preserve"> på å bidra til økt </w:t>
      </w:r>
      <w:r w:rsidR="00182CEA">
        <w:t>produktivitet</w:t>
      </w:r>
      <w:r w:rsidR="00A0373A">
        <w:t xml:space="preserve"> og kvalitet i helsetjenester</w:t>
      </w:r>
      <w:r w:rsidR="00245DAD">
        <w:t xml:space="preserve"> </w:t>
      </w:r>
      <w:r w:rsidR="006D60F9">
        <w:t xml:space="preserve">enn </w:t>
      </w:r>
      <w:r w:rsidR="00DB1A11">
        <w:t xml:space="preserve">å </w:t>
      </w:r>
      <w:r w:rsidR="00FF3341">
        <w:t xml:space="preserve">hente ut </w:t>
      </w:r>
      <w:r w:rsidR="00EF409A">
        <w:t>økonomiske besparelser</w:t>
      </w:r>
      <w:r w:rsidR="000A70A6">
        <w:t xml:space="preserve"> og redusere sektorens totale </w:t>
      </w:r>
      <w:r w:rsidR="000906EB">
        <w:t>IKT- og helsetjenestekostnader</w:t>
      </w:r>
      <w:r w:rsidR="007A184A">
        <w:t>.</w:t>
      </w:r>
      <w:r w:rsidR="001875F2">
        <w:t xml:space="preserve"> </w:t>
      </w:r>
      <w:r w:rsidR="003E7219">
        <w:t xml:space="preserve">Dette </w:t>
      </w:r>
      <w:r w:rsidR="00D5572B">
        <w:t>samsvarer</w:t>
      </w:r>
      <w:r w:rsidR="0034089E">
        <w:t xml:space="preserve"> med en </w:t>
      </w:r>
      <w:r w:rsidR="001875F2">
        <w:t xml:space="preserve">sektor som forbereder seg på et økt </w:t>
      </w:r>
      <w:r w:rsidR="00ED3D8B">
        <w:t>behov for helsetjenester i årene som kommer</w:t>
      </w:r>
      <w:r w:rsidR="00C612E8">
        <w:t xml:space="preserve">, </w:t>
      </w:r>
      <w:r w:rsidR="006F3309">
        <w:t xml:space="preserve">med et </w:t>
      </w:r>
      <w:proofErr w:type="gramStart"/>
      <w:r w:rsidR="006F3309">
        <w:t>fokus</w:t>
      </w:r>
      <w:proofErr w:type="gramEnd"/>
      <w:r w:rsidR="006F3309">
        <w:t xml:space="preserve"> på å kunne bruke IKT effektivt for å oppnå sine ønskede effekter</w:t>
      </w:r>
      <w:r w:rsidR="00ED3D8B">
        <w:t>.</w:t>
      </w:r>
    </w:p>
    <w:p w14:paraId="2D5A1C2C" w14:textId="6D504B2F" w:rsidR="0006691D" w:rsidRDefault="0006691D" w:rsidP="0006691D">
      <w:pPr>
        <w:spacing w:before="240"/>
      </w:pPr>
      <w:r w:rsidRPr="00557966">
        <w:t xml:space="preserve">I vår analyse ser vi at effektivisering og digitalisering av arbeidsprosesser var de mest fremtredende gevinstområdene i de analyserte initiativene. Videre har sektoren mange initiativer med effekter knyttet til helsedata, der datagevinstene i stor grad sammenfaller med </w:t>
      </w:r>
      <w:r w:rsidRPr="00557966">
        <w:lastRenderedPageBreak/>
        <w:t>effektiviseringsgevinster, pasientsikkerhet og økt kvalitet på helsetjenester. Sektoren har også gjort løft både knyttet til felles terminologi og infrastrukturinvesteringer som grunnmur for digitale tjenester.</w:t>
      </w:r>
      <w:r w:rsidR="00B137AD" w:rsidRPr="00291209">
        <w:t xml:space="preserve"> </w:t>
      </w:r>
      <w:r w:rsidR="00491B07" w:rsidRPr="00291209">
        <w:t xml:space="preserve">Investeringene </w:t>
      </w:r>
      <w:r w:rsidR="005A41EF" w:rsidRPr="00291209">
        <w:t xml:space="preserve">i e-helse gjøres i stor grad nasjonalt og regionalt, og </w:t>
      </w:r>
      <w:r w:rsidR="007B6914" w:rsidRPr="00291209">
        <w:t xml:space="preserve">denne </w:t>
      </w:r>
      <w:r w:rsidR="00CF706E" w:rsidRPr="00291209">
        <w:t xml:space="preserve">avstanden mellom initiativet og </w:t>
      </w:r>
      <w:r w:rsidR="00A77160" w:rsidRPr="00291209">
        <w:t>slut</w:t>
      </w:r>
      <w:r w:rsidR="00BA05FD" w:rsidRPr="00291209">
        <w:t>t</w:t>
      </w:r>
      <w:r w:rsidR="00A77160" w:rsidRPr="00291209">
        <w:t xml:space="preserve">brukerne </w:t>
      </w:r>
      <w:r w:rsidR="00A564D3">
        <w:t xml:space="preserve">komplisere arbeidet med </w:t>
      </w:r>
      <w:r w:rsidR="00F64397" w:rsidRPr="00291209">
        <w:t>gevinstrealisering</w:t>
      </w:r>
      <w:r w:rsidR="00BA05FD" w:rsidRPr="00291209">
        <w:t>.</w:t>
      </w:r>
      <w:r w:rsidR="0086327F" w:rsidRPr="00291209">
        <w:t xml:space="preserve"> </w:t>
      </w:r>
      <w:r w:rsidR="001B54B3">
        <w:t>Fremover vil det være</w:t>
      </w:r>
      <w:r w:rsidR="0086327F" w:rsidRPr="00291209">
        <w:t xml:space="preserve"> viktig med et fortsatt </w:t>
      </w:r>
      <w:proofErr w:type="gramStart"/>
      <w:r w:rsidR="0086327F" w:rsidRPr="00291209">
        <w:t>fokus</w:t>
      </w:r>
      <w:proofErr w:type="gramEnd"/>
      <w:r w:rsidR="0086327F" w:rsidRPr="00291209">
        <w:t xml:space="preserve"> på </w:t>
      </w:r>
      <w:r w:rsidR="00786CD5" w:rsidRPr="00291209">
        <w:t xml:space="preserve">effektarbeid og gevinstrealisering </w:t>
      </w:r>
      <w:r w:rsidR="008C73C9" w:rsidRPr="00291209">
        <w:t xml:space="preserve">i sektoren, både for å hente ut verdien av </w:t>
      </w:r>
      <w:r w:rsidR="008A2A4C" w:rsidRPr="00291209">
        <w:t xml:space="preserve">dagens investeringer, og også for å kunne </w:t>
      </w:r>
      <w:r w:rsidR="00EE776A" w:rsidRPr="00291209">
        <w:t xml:space="preserve">gjennomføre nødvendige investeringer i fremtiden. </w:t>
      </w:r>
      <w:r w:rsidR="002C6F64">
        <w:t xml:space="preserve">Når vi går inn i en usikker makroøkonomisk situasjon vil dette bli enda viktigere, for å synliggjøre effektene av </w:t>
      </w:r>
      <w:r w:rsidR="00E50A48">
        <w:t xml:space="preserve">nødvendige og viktige investeringer i e-helse. </w:t>
      </w:r>
      <w:r w:rsidR="00E86272" w:rsidRPr="00291209">
        <w:t xml:space="preserve">En viktig diskusjon for sektoren </w:t>
      </w:r>
      <w:r w:rsidR="00291209" w:rsidRPr="00291209">
        <w:t>blir</w:t>
      </w:r>
      <w:r w:rsidR="00291209">
        <w:t>:</w:t>
      </w:r>
    </w:p>
    <w:p w14:paraId="74F7A204" w14:textId="77777777" w:rsidR="0006691D" w:rsidRDefault="0006691D" w:rsidP="0006691D"/>
    <w:p w14:paraId="7A97FD8D" w14:textId="620EE354" w:rsidR="0006691D" w:rsidRDefault="00962F79" w:rsidP="0006691D">
      <w:pPr>
        <w:jc w:val="center"/>
        <w:rPr>
          <w:i/>
          <w:iCs/>
        </w:rPr>
      </w:pPr>
      <w:r w:rsidRPr="00962F79">
        <w:rPr>
          <w:i/>
          <w:iCs/>
        </w:rPr>
        <w:t>«Hvordan kan sektoren i enda større grad synliggjøre verdien dagens IKT-løft tilfører morgendagens brukere?»</w:t>
      </w:r>
    </w:p>
    <w:p w14:paraId="2E086961" w14:textId="598DB324" w:rsidR="00962F79" w:rsidRPr="003A59D4" w:rsidRDefault="00555629" w:rsidP="00A406A7">
      <w:pPr>
        <w:tabs>
          <w:tab w:val="clear" w:pos="357"/>
        </w:tabs>
        <w:spacing w:after="0" w:line="240" w:lineRule="auto"/>
        <w:rPr>
          <w:i/>
          <w:iCs/>
        </w:rPr>
      </w:pPr>
      <w:r>
        <w:rPr>
          <w:i/>
          <w:iCs/>
        </w:rPr>
        <w:br w:type="page"/>
      </w:r>
    </w:p>
    <w:p w14:paraId="5691B824" w14:textId="57F92FA9" w:rsidR="00CF6F4D" w:rsidRDefault="00A354AA" w:rsidP="00FA3715">
      <w:pPr>
        <w:pStyle w:val="Overskrift2"/>
      </w:pPr>
      <w:bookmarkStart w:id="117" w:name="_Toc119576427"/>
      <w:bookmarkStart w:id="118" w:name="_Toc119577237"/>
      <w:bookmarkStart w:id="119" w:name="_Toc119576428"/>
      <w:bookmarkStart w:id="120" w:name="_Toc119577238"/>
      <w:bookmarkStart w:id="121" w:name="_Toc119576429"/>
      <w:bookmarkStart w:id="122" w:name="_Toc119577239"/>
      <w:bookmarkStart w:id="123" w:name="_Toc146784546"/>
      <w:bookmarkEnd w:id="117"/>
      <w:bookmarkEnd w:id="118"/>
      <w:bookmarkEnd w:id="119"/>
      <w:bookmarkEnd w:id="120"/>
      <w:bookmarkEnd w:id="121"/>
      <w:bookmarkEnd w:id="122"/>
      <w:r>
        <w:lastRenderedPageBreak/>
        <w:t>H</w:t>
      </w:r>
      <w:r w:rsidR="00CF6F4D">
        <w:t xml:space="preserve">va driver </w:t>
      </w:r>
      <w:r>
        <w:t>transformasjonsinnsatsen i sektoren</w:t>
      </w:r>
      <w:r w:rsidR="00CF6F4D">
        <w:t>?</w:t>
      </w:r>
      <w:bookmarkEnd w:id="123"/>
    </w:p>
    <w:p w14:paraId="5AF683E2" w14:textId="77777777" w:rsidR="00677331" w:rsidRDefault="00677331" w:rsidP="0046517F"/>
    <w:p w14:paraId="32FBD864" w14:textId="77777777" w:rsidR="00122C13" w:rsidRPr="007C1995" w:rsidRDefault="00122C13" w:rsidP="00122C13">
      <w:pPr>
        <w:rPr>
          <w:b/>
          <w:bCs/>
        </w:rPr>
      </w:pPr>
      <w:r w:rsidRPr="007C1995">
        <w:rPr>
          <w:b/>
          <w:bCs/>
        </w:rPr>
        <w:t>Nøkkelfunn</w:t>
      </w:r>
    </w:p>
    <w:p w14:paraId="2A610739" w14:textId="3C612962"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A95108">
        <w:t xml:space="preserve">Sammenliknet med internasjonale tall går en relativt større andel av </w:t>
      </w:r>
      <w:r w:rsidRPr="00EB7FD0">
        <w:t xml:space="preserve">innsatsen i sektoren til transformative initiativer. </w:t>
      </w:r>
    </w:p>
    <w:p w14:paraId="675EEEF2" w14:textId="7FB4D0C1"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EB7FD0">
        <w:t>Innsatsen</w:t>
      </w:r>
      <w:r w:rsidR="00DE7E78">
        <w:t xml:space="preserve"> i dag</w:t>
      </w:r>
      <w:r w:rsidRPr="00EB7FD0">
        <w:t xml:space="preserve"> er drevet </w:t>
      </w:r>
      <w:r w:rsidRPr="00557966">
        <w:t xml:space="preserve">av et fåtall store initiativer </w:t>
      </w:r>
      <w:r w:rsidRPr="00EB7FD0">
        <w:t xml:space="preserve">som </w:t>
      </w:r>
      <w:proofErr w:type="gramStart"/>
      <w:r w:rsidRPr="00EB7FD0">
        <w:t>fokuserer</w:t>
      </w:r>
      <w:proofErr w:type="gramEnd"/>
      <w:r w:rsidRPr="00EB7FD0">
        <w:t xml:space="preserve"> på å understøtte </w:t>
      </w:r>
      <w:r w:rsidRPr="00557966">
        <w:t xml:space="preserve">grunnleggende IKT-funksjonalitet </w:t>
      </w:r>
      <w:r w:rsidRPr="00EB7FD0">
        <w:t>for sektoren.</w:t>
      </w:r>
    </w:p>
    <w:p w14:paraId="4001A091" w14:textId="77777777"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557966">
        <w:t>Innvestering</w:t>
      </w:r>
      <w:r w:rsidRPr="00EB7FD0">
        <w:t xml:space="preserve"> i transformative teknologier skjer i stor grad </w:t>
      </w:r>
      <w:r w:rsidRPr="00557966">
        <w:t>regionalt</w:t>
      </w:r>
      <w:r w:rsidRPr="00EB7FD0">
        <w:t>.</w:t>
      </w:r>
    </w:p>
    <w:p w14:paraId="2CB31B82" w14:textId="77777777" w:rsidR="00122C13" w:rsidRDefault="00122C13" w:rsidP="00122C13">
      <w:pPr>
        <w:rPr>
          <w:b/>
          <w:bCs/>
        </w:rPr>
      </w:pPr>
    </w:p>
    <w:p w14:paraId="6E331D05" w14:textId="037CB7BD" w:rsidR="00122C13" w:rsidRPr="007C1995" w:rsidRDefault="00EB39D2" w:rsidP="00122C13">
      <w:pPr>
        <w:rPr>
          <w:b/>
          <w:bCs/>
        </w:rPr>
      </w:pPr>
      <w:r>
        <w:rPr>
          <w:b/>
          <w:bCs/>
        </w:rPr>
        <w:t>Underbyggende a</w:t>
      </w:r>
      <w:r w:rsidRPr="007C1995">
        <w:rPr>
          <w:b/>
          <w:bCs/>
        </w:rPr>
        <w:t>nalyse</w:t>
      </w:r>
    </w:p>
    <w:p w14:paraId="4F8C7664" w14:textId="77777777" w:rsidR="0046517F" w:rsidRDefault="0046517F" w:rsidP="0046517F">
      <w:r>
        <w:t>Figuren nedenfor viser utviklingen av de totale IKT-kostnadene i helseregionene og helseforvaltningen klassifisert etter «Run», «</w:t>
      </w:r>
      <w:proofErr w:type="spellStart"/>
      <w:r>
        <w:t>Grow</w:t>
      </w:r>
      <w:proofErr w:type="spellEnd"/>
      <w:r>
        <w:t>» og «Transform» sammenlignet med det internasjonale gjennomsnittet i EMEA.</w:t>
      </w:r>
    </w:p>
    <w:p w14:paraId="3EDA8457" w14:textId="77777777" w:rsidR="003750F0" w:rsidRDefault="0046517F" w:rsidP="003750F0">
      <w:pPr>
        <w:keepNext/>
      </w:pPr>
      <w:r>
        <w:rPr>
          <w:noProof/>
        </w:rPr>
        <w:drawing>
          <wp:inline distT="0" distB="0" distL="0" distR="0" wp14:anchorId="2C3485C9" wp14:editId="18FC7EBC">
            <wp:extent cx="5781822" cy="4599096"/>
            <wp:effectExtent l="0" t="0" r="0" b="0"/>
            <wp:docPr id="198" name="Picture 33" descr="Søylediagram som viser andelen av IKT kostander fordelt på Run, Grow og Transform for helseregionene sammenliknet med Gartner EMEA snittet,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3" descr="Søylediagram som viser andelen av IKT kostander fordelt på Run, Grow og Transform for helseregionene sammenliknet med Gartner EMEA snittet, for året 2021. "/>
                    <pic:cNvPicPr>
                      <a:picLocks noChangeAspect="1" noChangeArrowheads="1"/>
                    </pic:cNvPicPr>
                  </pic:nvPicPr>
                  <pic:blipFill>
                    <a:blip r:embed="rId25"/>
                    <a:stretch>
                      <a:fillRect/>
                    </a:stretch>
                  </pic:blipFill>
                  <pic:spPr bwMode="auto">
                    <a:xfrm>
                      <a:off x="0" y="0"/>
                      <a:ext cx="5835830" cy="4642056"/>
                    </a:xfrm>
                    <a:prstGeom prst="rect">
                      <a:avLst/>
                    </a:prstGeom>
                    <a:noFill/>
                  </pic:spPr>
                </pic:pic>
              </a:graphicData>
            </a:graphic>
          </wp:inline>
        </w:drawing>
      </w:r>
    </w:p>
    <w:p w14:paraId="2C22AB67" w14:textId="518262F4" w:rsidR="00C03C0D" w:rsidRDefault="003750F0" w:rsidP="00CD3270">
      <w:pPr>
        <w:pStyle w:val="Bildetekst"/>
      </w:pPr>
      <w:r>
        <w:t xml:space="preserve">Figur </w:t>
      </w:r>
      <w:r w:rsidR="00703179">
        <w:t>12:</w:t>
      </w:r>
      <w:r w:rsidRPr="003750F0">
        <w:t xml:space="preserve"> </w:t>
      </w:r>
      <w:r>
        <w:t xml:space="preserve">Utvikling i andel av IKT-kostnader fordelt på Run, </w:t>
      </w:r>
      <w:proofErr w:type="spellStart"/>
      <w:r>
        <w:t>Grow</w:t>
      </w:r>
      <w:proofErr w:type="spellEnd"/>
      <w:r>
        <w:t xml:space="preserve"> og Transform for helseregionene og helseforvaltningen, og internasjonale gjennomsnittstall fra EMEA 2021</w:t>
      </w:r>
    </w:p>
    <w:p w14:paraId="47523331" w14:textId="69690E8A" w:rsidR="0046517F" w:rsidRDefault="0046517F" w:rsidP="0046517F">
      <w:r>
        <w:t xml:space="preserve">Utviklingen viser at helseregionene og helseforvaltningen i Norge har et høyere </w:t>
      </w:r>
      <w:proofErr w:type="gramStart"/>
      <w:r>
        <w:t>fokus</w:t>
      </w:r>
      <w:proofErr w:type="gramEnd"/>
      <w:r>
        <w:t xml:space="preserve"> på å investere i IKT som skal bidra til vekst og transformasjon av helsetjenester i sektoren </w:t>
      </w:r>
      <w:r>
        <w:lastRenderedPageBreak/>
        <w:t xml:space="preserve">sammenlignet med andre helsetjenestetilbydere i EMEA. Det er viktig å </w:t>
      </w:r>
      <w:r w:rsidR="00822094">
        <w:t xml:space="preserve">understreke at </w:t>
      </w:r>
      <w:r w:rsidR="00725646">
        <w:t>det ikke er et</w:t>
      </w:r>
      <w:r>
        <w:t xml:space="preserve"> </w:t>
      </w:r>
      <w:r w:rsidR="00725646">
        <w:t xml:space="preserve">spesifikt </w:t>
      </w:r>
      <w:proofErr w:type="spellStart"/>
      <w:r w:rsidR="00725646">
        <w:t>målbilde</w:t>
      </w:r>
      <w:proofErr w:type="spellEnd"/>
      <w:r w:rsidR="009B6DAF">
        <w:t xml:space="preserve">, eller </w:t>
      </w:r>
      <w:proofErr w:type="gramStart"/>
      <w:r w:rsidR="009B6DAF">
        <w:t>optimal</w:t>
      </w:r>
      <w:proofErr w:type="gramEnd"/>
      <w:r w:rsidR="009B6DAF">
        <w:t xml:space="preserve"> fordeling knyttet til </w:t>
      </w:r>
      <w:r w:rsidR="00725646">
        <w:t>denne</w:t>
      </w:r>
      <w:r>
        <w:t xml:space="preserve"> fordeling</w:t>
      </w:r>
      <w:r w:rsidR="009B6DAF">
        <w:t>en</w:t>
      </w:r>
      <w:r>
        <w:t>, da v</w:t>
      </w:r>
      <w:r w:rsidRPr="00187BA0">
        <w:t>irksomheter kan være i ulike livsfaser med tanke på vekst og fokus på digitalisering</w:t>
      </w:r>
      <w:r w:rsidR="005408F6">
        <w:t xml:space="preserve">. Livsfase vil ha </w:t>
      </w:r>
      <w:r w:rsidRPr="00187BA0">
        <w:t xml:space="preserve">en stor påvirkning på hva som er en </w:t>
      </w:r>
      <w:r w:rsidR="008B3D68">
        <w:t>gunstig</w:t>
      </w:r>
      <w:r w:rsidR="008B3D68" w:rsidRPr="00187BA0">
        <w:t xml:space="preserve"> </w:t>
      </w:r>
      <w:r w:rsidRPr="00187BA0">
        <w:t>fordeling av RGT-utgifter.</w:t>
      </w:r>
      <w:r>
        <w:t xml:space="preserve"> For helseregionene og helseforvaltningen er denne fordelingen en god indikator på at sektoren er midt inne i et digitalt løft hvor nye digitale helsetjenester utvikles og fornyes.</w:t>
      </w:r>
      <w:r w:rsidR="00CC179D" w:rsidRPr="00CC179D">
        <w:t xml:space="preserve"> </w:t>
      </w:r>
      <w:r w:rsidR="00CC179D">
        <w:t xml:space="preserve">Helse og omsorgssektoren har de siste årene hatt en vekst i sine kostnader knyttet til transformasjon der transformasjonsinnsatsen hos nasjonale aktører har økt med 93% siden 2019, og hos de regionale helseforetakene har </w:t>
      </w:r>
      <w:r w:rsidR="00131DDD">
        <w:t xml:space="preserve">vi siden 2019 sett en </w:t>
      </w:r>
      <w:r w:rsidR="00CC179D">
        <w:t>gjennomsnittlig årlig vekst i transformasjons</w:t>
      </w:r>
      <w:r w:rsidR="00131DDD">
        <w:t xml:space="preserve">innsats på </w:t>
      </w:r>
      <w:r w:rsidR="00CC179D">
        <w:t>10,3%.</w:t>
      </w:r>
    </w:p>
    <w:p w14:paraId="59CEC2E1" w14:textId="68C158FB" w:rsidR="00511CCC" w:rsidRDefault="00511CCC" w:rsidP="00511CCC">
      <w:r>
        <w:t xml:space="preserve">I analysen </w:t>
      </w:r>
      <w:proofErr w:type="gramStart"/>
      <w:r>
        <w:t>fremkommer</w:t>
      </w:r>
      <w:proofErr w:type="gramEnd"/>
      <w:r>
        <w:t xml:space="preserve"> det tydelig at sektoren kjennetegnes av at en liten andel av initiativene driver en stor andel av kostnadene. De syv største initiativene i sektoren stod for totalt 33% av de totale kartlagte kostnadene, og dersom man ser på initiativene med en kostnad over 50 </w:t>
      </w:r>
      <w:r w:rsidR="00B11279">
        <w:t>millioner kroner</w:t>
      </w:r>
      <w:r>
        <w:t xml:space="preserve"> </w:t>
      </w:r>
      <w:r w:rsidRPr="005F6DD2">
        <w:t xml:space="preserve">utgjorde disse 2,6% av de kartlagte initiativene, men stod for 55% av de kartlagte kostnadene. </w:t>
      </w:r>
      <w:r w:rsidR="00631AF7" w:rsidRPr="00557966">
        <w:t>I</w:t>
      </w:r>
      <w:r w:rsidR="005A19F9" w:rsidRPr="00557966">
        <w:t xml:space="preserve"> vår analyse har vi tatt</w:t>
      </w:r>
      <w:r w:rsidRPr="005F6DD2">
        <w:t xml:space="preserve"> utgangspunkt IKT-initiativene med et kostnadsomfang på over 10 </w:t>
      </w:r>
      <w:r w:rsidR="00B11279">
        <w:t>millioner kroner</w:t>
      </w:r>
      <w:r w:rsidRPr="005F6DD2">
        <w:t xml:space="preserve"> i 2021. Dette underlaget utgjør i alt 10,5% av totalt antall initiativer og 85% av de totale IKT-prosjektkostnadene for 2021.</w:t>
      </w:r>
    </w:p>
    <w:p w14:paraId="54D7FA12" w14:textId="77777777" w:rsidR="00703179" w:rsidRDefault="00511CCC" w:rsidP="00703179">
      <w:pPr>
        <w:keepNext/>
      </w:pPr>
      <w:r>
        <w:rPr>
          <w:noProof/>
        </w:rPr>
        <w:drawing>
          <wp:inline distT="0" distB="0" distL="0" distR="0" wp14:anchorId="5837DBB8" wp14:editId="00AF276A">
            <wp:extent cx="5637752" cy="2897223"/>
            <wp:effectExtent l="0" t="0" r="1270" b="0"/>
            <wp:docPr id="205" name="Bilde 48" descr="To grafiske framstillinger, både en kakediagram og en søylediagram som viser fordelingen av antall innrapporterte prosjekter basert på størrelsen av prosjektene. Fra mindre enn 10 millioner, 10 til 50 millioner, 50 til 100 millioner og over 100 millioner. Tallene gjelder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de 48" descr="To grafiske framstillinger, både en kakediagram og en søylediagram som viser fordelingen av antall innrapporterte prosjekter basert på størrelsen av prosjektene. Fra mindre enn 10 millioner, 10 til 50 millioner, 50 til 100 millioner og over 100 millioner. Tallene gjelder for året 2021. "/>
                    <pic:cNvPicPr>
                      <a:picLocks noChangeAspect="1" noChangeArrowheads="1"/>
                    </pic:cNvPicPr>
                  </pic:nvPicPr>
                  <pic:blipFill>
                    <a:blip r:embed="rId26"/>
                    <a:stretch>
                      <a:fillRect/>
                    </a:stretch>
                  </pic:blipFill>
                  <pic:spPr bwMode="auto">
                    <a:xfrm>
                      <a:off x="0" y="0"/>
                      <a:ext cx="5637752" cy="2897223"/>
                    </a:xfrm>
                    <a:prstGeom prst="rect">
                      <a:avLst/>
                    </a:prstGeom>
                    <a:noFill/>
                  </pic:spPr>
                </pic:pic>
              </a:graphicData>
            </a:graphic>
          </wp:inline>
        </w:drawing>
      </w:r>
    </w:p>
    <w:p w14:paraId="6C170DF9" w14:textId="4BD94489" w:rsidR="00511CCC" w:rsidRDefault="00703179"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12</w:t>
      </w:r>
      <w:r w:rsidR="00DC6F8E">
        <w:rPr>
          <w:noProof/>
        </w:rPr>
        <w:fldChar w:fldCharType="end"/>
      </w:r>
      <w:r>
        <w:t>: Fordeling av antall innrapporterte prosjekter i 2021 basert på størrelse, og andelen av de totale kostandene disse prosjektene utgjør</w:t>
      </w:r>
    </w:p>
    <w:p w14:paraId="585D9DFF" w14:textId="791B2E20" w:rsidR="00D03E90" w:rsidRDefault="00B93F78">
      <w:r>
        <w:t xml:space="preserve">Den overordnede observasjonen </w:t>
      </w:r>
      <w:r w:rsidR="00DA4BC3">
        <w:t>av</w:t>
      </w:r>
      <w:r>
        <w:t xml:space="preserve"> at </w:t>
      </w:r>
      <w:r w:rsidR="00B662CE">
        <w:t xml:space="preserve">en stor andel av </w:t>
      </w:r>
      <w:r w:rsidR="00A7211E">
        <w:t>IKT-innsatsen drives av en lite</w:t>
      </w:r>
      <w:r w:rsidR="00B662CE">
        <w:t>n andel av de totale initiativene gjenspeiles også når vi graver dypere i transformasjonsinnsatsen i sektoren.</w:t>
      </w:r>
      <w:r w:rsidR="00C131DD">
        <w:t xml:space="preserve"> En gjennomgang av transformasjonsinnsatsen i sektoren som er gjennomført i prosjektregi viser at </w:t>
      </w:r>
      <w:r w:rsidR="001840EA">
        <w:t>denne utgjør om lag 1,5 milliarder NOK i 2021, fordelt på 113 initiativer. Av dette</w:t>
      </w:r>
      <w:r w:rsidR="007A4AF8">
        <w:t xml:space="preserve"> stod </w:t>
      </w:r>
      <w:r w:rsidR="00CA17C1">
        <w:t>fem prosjekter for totalt 61% av den totale transformasjonsinnsatsen</w:t>
      </w:r>
      <w:r w:rsidR="00D03E90">
        <w:t>:</w:t>
      </w:r>
      <w:r w:rsidR="00CA4B4F">
        <w:t xml:space="preserve"> </w:t>
      </w:r>
      <w:r w:rsidR="00BA67CD">
        <w:t>«</w:t>
      </w:r>
      <w:r w:rsidR="00CA4B4F">
        <w:t>Helseplattformen</w:t>
      </w:r>
      <w:r w:rsidR="00BA67CD">
        <w:t>»</w:t>
      </w:r>
      <w:r w:rsidR="00CA4B4F">
        <w:t xml:space="preserve"> i regi av Helse Midt</w:t>
      </w:r>
      <w:r w:rsidR="00D8501F">
        <w:t xml:space="preserve">, </w:t>
      </w:r>
      <w:r w:rsidR="00BA67CD">
        <w:t>«</w:t>
      </w:r>
      <w:r w:rsidR="00D8501F">
        <w:t>Helsedataprogrammet</w:t>
      </w:r>
      <w:r w:rsidR="00BA67CD">
        <w:t>»</w:t>
      </w:r>
      <w:r w:rsidR="00D8501F">
        <w:t xml:space="preserve"> og </w:t>
      </w:r>
      <w:r w:rsidR="00BA67CD">
        <w:t>«</w:t>
      </w:r>
      <w:r w:rsidR="00D8501F">
        <w:t>Pasientens Legemiddelliste</w:t>
      </w:r>
      <w:r w:rsidR="00BA67CD">
        <w:t>»</w:t>
      </w:r>
      <w:r w:rsidR="00D8501F">
        <w:t xml:space="preserve"> i regi av Direktoratet for e-helse, </w:t>
      </w:r>
      <w:r w:rsidR="00E23324">
        <w:t>samt</w:t>
      </w:r>
      <w:r w:rsidR="00D8501F">
        <w:t xml:space="preserve"> </w:t>
      </w:r>
      <w:r w:rsidR="00BA67CD">
        <w:t>«</w:t>
      </w:r>
      <w:r w:rsidR="00D8501F">
        <w:t>Regional kurve og Medikasjon</w:t>
      </w:r>
      <w:r w:rsidR="00BA67CD">
        <w:t>»</w:t>
      </w:r>
      <w:r w:rsidR="00E23324">
        <w:t xml:space="preserve"> og </w:t>
      </w:r>
      <w:r w:rsidR="00BA67CD">
        <w:t>«</w:t>
      </w:r>
      <w:r w:rsidR="00E23324">
        <w:t>Regional radiologi og multimediaarkiv</w:t>
      </w:r>
      <w:r w:rsidR="00BA67CD">
        <w:t>»</w:t>
      </w:r>
      <w:r w:rsidR="00E23324">
        <w:t xml:space="preserve"> i regi av Helse Sør-øst.</w:t>
      </w:r>
    </w:p>
    <w:p w14:paraId="59588411" w14:textId="77777777" w:rsidR="00BA67CD" w:rsidRDefault="00BA67CD" w:rsidP="00557966"/>
    <w:p w14:paraId="75D4B576" w14:textId="77777777" w:rsidR="000A1A46" w:rsidRDefault="00D92686" w:rsidP="000A1A46">
      <w:pPr>
        <w:keepNext/>
      </w:pPr>
      <w:r>
        <w:rPr>
          <w:noProof/>
        </w:rPr>
        <w:lastRenderedPageBreak/>
        <w:drawing>
          <wp:inline distT="0" distB="0" distL="0" distR="0" wp14:anchorId="116CF04A" wp14:editId="008D2279">
            <wp:extent cx="5255813" cy="3420908"/>
            <wp:effectExtent l="0" t="0" r="2540" b="8255"/>
            <wp:docPr id="208" name="Picture 208" descr="Søylediagram som viser områdene som har høyest transformasjonskostnader. Grafen viser kun initiativ over 10 millioner kroner. Tallene er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øylediagram som viser områdene som har høyest transformasjonskostnader. Grafen viser kun initiativ over 10 millioner kroner. Tallene er for året 2021.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981" cy="3469833"/>
                    </a:xfrm>
                    <a:prstGeom prst="rect">
                      <a:avLst/>
                    </a:prstGeom>
                    <a:noFill/>
                  </pic:spPr>
                </pic:pic>
              </a:graphicData>
            </a:graphic>
          </wp:inline>
        </w:drawing>
      </w:r>
    </w:p>
    <w:p w14:paraId="13EF59F9" w14:textId="61867502" w:rsidR="00672925" w:rsidRDefault="000A1A46"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13</w:t>
      </w:r>
      <w:r w:rsidR="00DC6F8E">
        <w:rPr>
          <w:noProof/>
        </w:rPr>
        <w:fldChar w:fldCharType="end"/>
      </w:r>
      <w:r>
        <w:t>: Transformasjonskostnader for initiativer over 10 millioner kroner i Helse- og omsorgssektoren 2021, fordelt på innsatsområde</w:t>
      </w:r>
    </w:p>
    <w:p w14:paraId="14A8047F" w14:textId="5B6CA642" w:rsidR="00D03E90" w:rsidRDefault="00EB32FD" w:rsidP="00B93F78">
      <w:pPr>
        <w:tabs>
          <w:tab w:val="clear" w:pos="357"/>
        </w:tabs>
        <w:spacing w:after="0" w:line="240" w:lineRule="auto"/>
      </w:pPr>
      <w:r>
        <w:t xml:space="preserve">Dersom vi </w:t>
      </w:r>
      <w:r w:rsidR="00345B18">
        <w:t xml:space="preserve">tar et overordnet blikk på transformasjonsinnsatsen i sektoren ser vi at </w:t>
      </w:r>
      <w:r w:rsidR="00801EA1">
        <w:t>EPJ</w:t>
      </w:r>
      <w:r w:rsidR="00131791">
        <w:t>-initiativer</w:t>
      </w:r>
      <w:r w:rsidR="00801EA1">
        <w:t xml:space="preserve"> stod for </w:t>
      </w:r>
      <w:r w:rsidR="00801EA1" w:rsidRPr="0042713B">
        <w:t xml:space="preserve">538 </w:t>
      </w:r>
      <w:r w:rsidR="00B11279">
        <w:t>millioner kroner</w:t>
      </w:r>
      <w:r w:rsidR="00131791">
        <w:t xml:space="preserve"> av </w:t>
      </w:r>
      <w:r w:rsidR="006D5C07">
        <w:t>transformasjonskostnadene (</w:t>
      </w:r>
      <w:r w:rsidR="00801EA1" w:rsidRPr="0042713B">
        <w:t>35%</w:t>
      </w:r>
      <w:r w:rsidR="00801EA1">
        <w:t>), Helsedata</w:t>
      </w:r>
      <w:r w:rsidR="00131791">
        <w:t xml:space="preserve">initiativer stod for </w:t>
      </w:r>
      <w:r w:rsidR="00801EA1" w:rsidRPr="00357742">
        <w:t xml:space="preserve">289 </w:t>
      </w:r>
      <w:r w:rsidR="00B11279">
        <w:t xml:space="preserve">millioner </w:t>
      </w:r>
      <w:r w:rsidR="00C33C86">
        <w:t>kroner (</w:t>
      </w:r>
      <w:r w:rsidR="00801EA1" w:rsidRPr="00357742">
        <w:t>19%</w:t>
      </w:r>
      <w:r w:rsidR="00801EA1">
        <w:t xml:space="preserve">), </w:t>
      </w:r>
      <w:proofErr w:type="spellStart"/>
      <w:r w:rsidR="00801EA1">
        <w:t>Medikamentsløsninger</w:t>
      </w:r>
      <w:proofErr w:type="spellEnd"/>
      <w:r w:rsidR="006D5C07">
        <w:t xml:space="preserve"> stod for </w:t>
      </w:r>
      <w:r w:rsidR="00801EA1" w:rsidRPr="00357742">
        <w:t xml:space="preserve">262 </w:t>
      </w:r>
      <w:r w:rsidR="00B11279">
        <w:t>millioner kroner</w:t>
      </w:r>
      <w:r w:rsidR="00C33C86">
        <w:t xml:space="preserve"> </w:t>
      </w:r>
      <w:r w:rsidR="006D5C07">
        <w:t>(</w:t>
      </w:r>
      <w:r w:rsidR="00801EA1" w:rsidRPr="00357742">
        <w:t>17%</w:t>
      </w:r>
      <w:r w:rsidR="00801EA1">
        <w:t>), og innbyggerløsninger</w:t>
      </w:r>
      <w:r w:rsidR="006D5C07">
        <w:t xml:space="preserve"> </w:t>
      </w:r>
      <w:r w:rsidR="00801EA1" w:rsidRPr="00357742">
        <w:t xml:space="preserve">101 </w:t>
      </w:r>
      <w:r w:rsidR="00B11279">
        <w:t>millioner kroner</w:t>
      </w:r>
      <w:r w:rsidR="00801EA1" w:rsidRPr="00357742">
        <w:t xml:space="preserve"> </w:t>
      </w:r>
      <w:r w:rsidR="006D5C07">
        <w:t>(</w:t>
      </w:r>
      <w:r w:rsidR="00801EA1" w:rsidRPr="00357742">
        <w:t>7%</w:t>
      </w:r>
      <w:r w:rsidR="00801EA1">
        <w:t>).</w:t>
      </w:r>
      <w:r w:rsidR="003F45D0">
        <w:t xml:space="preserve"> Den fjerde største kategorien i vår analyse bestod av i alt 85 prosjekter med en kostnadsstørrelse under 10 </w:t>
      </w:r>
      <w:r w:rsidR="00B11279">
        <w:t>millioner kroner</w:t>
      </w:r>
      <w:r w:rsidR="003F45D0">
        <w:t xml:space="preserve"> som ikke har blitt inndelt etter IKT-område, og utgjorde totalt </w:t>
      </w:r>
      <w:r w:rsidR="003F45D0" w:rsidRPr="006F4B04">
        <w:t xml:space="preserve">181 </w:t>
      </w:r>
      <w:r w:rsidR="00B11279">
        <w:t>millioner kroner</w:t>
      </w:r>
      <w:r w:rsidR="003F45D0" w:rsidRPr="006F4B04">
        <w:t xml:space="preserve">, </w:t>
      </w:r>
      <w:r w:rsidR="003F45D0">
        <w:t xml:space="preserve">tilsvarende </w:t>
      </w:r>
      <w:r w:rsidR="003F45D0" w:rsidRPr="006F4B04">
        <w:t>12%</w:t>
      </w:r>
      <w:r w:rsidR="003F45D0">
        <w:t xml:space="preserve"> av totale transformasjonskostnader.</w:t>
      </w:r>
    </w:p>
    <w:p w14:paraId="3B619972" w14:textId="0BCB632A" w:rsidR="00B93F78" w:rsidRDefault="001840EA" w:rsidP="00557966">
      <w:pPr>
        <w:tabs>
          <w:tab w:val="clear" w:pos="357"/>
        </w:tabs>
        <w:spacing w:after="0" w:line="240" w:lineRule="auto"/>
      </w:pPr>
      <w:r>
        <w:t xml:space="preserve"> </w:t>
      </w:r>
    </w:p>
    <w:p w14:paraId="526CF2F8" w14:textId="26B6DEA6" w:rsidR="00FD5096" w:rsidRDefault="00873655" w:rsidP="00873655">
      <w:r>
        <w:t xml:space="preserve">Tallene </w:t>
      </w:r>
      <w:r w:rsidR="003B45C8">
        <w:t xml:space="preserve">i vår analyse </w:t>
      </w:r>
      <w:r>
        <w:t xml:space="preserve">indikerer at </w:t>
      </w:r>
      <w:r w:rsidR="003B45C8">
        <w:t xml:space="preserve">både prosjekt- og transformasjonsinnsatsen i </w:t>
      </w:r>
      <w:r>
        <w:t xml:space="preserve">sektoren i </w:t>
      </w:r>
      <w:r w:rsidR="00C778B9">
        <w:t>stor</w:t>
      </w:r>
      <w:r>
        <w:t xml:space="preserve"> grad er drevet av store, omfattende digitaliseringsløft</w:t>
      </w:r>
      <w:r w:rsidR="003B45C8">
        <w:t xml:space="preserve">. </w:t>
      </w:r>
      <w:r w:rsidR="00D05CC8">
        <w:t>En større del av t</w:t>
      </w:r>
      <w:r w:rsidR="00FD5096">
        <w:t xml:space="preserve">ransformasjonsinnsatsen </w:t>
      </w:r>
      <w:r w:rsidR="00480BEE">
        <w:t xml:space="preserve">i sektoren </w:t>
      </w:r>
      <w:r w:rsidR="00FD5096">
        <w:t>er knyttet til</w:t>
      </w:r>
      <w:r>
        <w:t xml:space="preserve"> </w:t>
      </w:r>
      <w:r w:rsidR="00FD5096">
        <w:t xml:space="preserve">sentrale </w:t>
      </w:r>
      <w:r w:rsidR="00F9249A">
        <w:t>IKT-applikasjoner</w:t>
      </w:r>
      <w:r w:rsidR="00636795">
        <w:t xml:space="preserve"> som støtter og forbedrer leveransen av dagens helsetjenester</w:t>
      </w:r>
      <w:r w:rsidR="00D05CC8">
        <w:t xml:space="preserve">, og tilrettelegger for </w:t>
      </w:r>
      <w:r w:rsidR="00EE309F">
        <w:t xml:space="preserve">at sektoren kan levere </w:t>
      </w:r>
      <w:r w:rsidR="00F675E0">
        <w:t xml:space="preserve">morgendagens </w:t>
      </w:r>
      <w:r w:rsidR="004F2541">
        <w:t>helsetjenester</w:t>
      </w:r>
      <w:r w:rsidR="00EE309F">
        <w:t xml:space="preserve"> på nye måter</w:t>
      </w:r>
      <w:r w:rsidR="004209CB">
        <w:t>.</w:t>
      </w:r>
      <w:r w:rsidR="00452452">
        <w:t xml:space="preserve"> </w:t>
      </w:r>
      <w:r w:rsidR="00B61C7D">
        <w:t>Denne i</w:t>
      </w:r>
      <w:r w:rsidR="00665DCD">
        <w:t>n</w:t>
      </w:r>
      <w:r w:rsidR="00CA0FCA">
        <w:t>n</w:t>
      </w:r>
      <w:r w:rsidR="00665DCD">
        <w:t xml:space="preserve">satsen i sektoren reflekterer i stor grad </w:t>
      </w:r>
      <w:r w:rsidR="00851902">
        <w:t xml:space="preserve">satsningsområdene skissert i </w:t>
      </w:r>
      <w:r w:rsidR="00F038F1">
        <w:t xml:space="preserve">Meld. </w:t>
      </w:r>
      <w:r w:rsidR="00C87537">
        <w:t xml:space="preserve">St. 9 </w:t>
      </w:r>
      <w:r w:rsidR="009C03E1">
        <w:t xml:space="preserve">(2012-2013) </w:t>
      </w:r>
      <w:r w:rsidR="0078677D">
        <w:t>Én innbygger – én journal</w:t>
      </w:r>
      <w:r w:rsidR="00652DC1">
        <w:t xml:space="preserve"> og </w:t>
      </w:r>
      <w:r w:rsidR="009C3019">
        <w:t>Nasjonal e-helsestrategi 201</w:t>
      </w:r>
      <w:r w:rsidR="00652DC1">
        <w:t>7-</w:t>
      </w:r>
      <w:r w:rsidR="009C3019">
        <w:t>20</w:t>
      </w:r>
      <w:r w:rsidR="00652DC1">
        <w:t>22.</w:t>
      </w:r>
      <w:r w:rsidR="0059116C">
        <w:t xml:space="preserve"> Basert på </w:t>
      </w:r>
      <w:r w:rsidR="008370FD">
        <w:t xml:space="preserve">analysene over </w:t>
      </w:r>
      <w:r w:rsidR="007A1F79">
        <w:t>peker det seg ut to viktige diskusjoner</w:t>
      </w:r>
      <w:r w:rsidR="002C069B">
        <w:t xml:space="preserve"> </w:t>
      </w:r>
      <w:r w:rsidR="003420BD">
        <w:t>knyttet ti</w:t>
      </w:r>
      <w:r w:rsidR="00024CD2">
        <w:t xml:space="preserve">l sektorens </w:t>
      </w:r>
      <w:r w:rsidR="00807E8A">
        <w:t>transformasjonsinnsats:</w:t>
      </w:r>
    </w:p>
    <w:p w14:paraId="7209F473" w14:textId="77777777" w:rsidR="00135F4C" w:rsidRDefault="00135F4C" w:rsidP="00873655"/>
    <w:p w14:paraId="4EDCD41D" w14:textId="402DFB5D" w:rsidR="00135F4C" w:rsidRPr="00460F24" w:rsidRDefault="00135F4C" w:rsidP="00135F4C">
      <w:pPr>
        <w:jc w:val="center"/>
        <w:rPr>
          <w:i/>
        </w:rPr>
      </w:pPr>
      <w:r w:rsidRPr="00460F24">
        <w:rPr>
          <w:i/>
        </w:rPr>
        <w:t xml:space="preserve">«Hvordan kan </w:t>
      </w:r>
      <w:r w:rsidR="00A25398">
        <w:rPr>
          <w:i/>
        </w:rPr>
        <w:t>aktørene</w:t>
      </w:r>
      <w:r w:rsidR="00A25398" w:rsidRPr="00460F24">
        <w:rPr>
          <w:i/>
        </w:rPr>
        <w:t xml:space="preserve"> </w:t>
      </w:r>
      <w:r w:rsidRPr="00460F24">
        <w:rPr>
          <w:i/>
        </w:rPr>
        <w:t>tilrettelegge for gjenbruk av</w:t>
      </w:r>
      <w:r w:rsidR="00DF0880">
        <w:rPr>
          <w:i/>
        </w:rPr>
        <w:t xml:space="preserve"> læring,</w:t>
      </w:r>
      <w:r w:rsidRPr="00460F24">
        <w:rPr>
          <w:i/>
        </w:rPr>
        <w:t xml:space="preserve"> løsninger og tilpasninger på tvers av </w:t>
      </w:r>
      <w:r w:rsidR="0021727D">
        <w:rPr>
          <w:i/>
        </w:rPr>
        <w:t>helse- og omsorgss</w:t>
      </w:r>
      <w:r w:rsidRPr="00460F24">
        <w:rPr>
          <w:i/>
        </w:rPr>
        <w:t>ektoren?»</w:t>
      </w:r>
    </w:p>
    <w:p w14:paraId="63B495C0" w14:textId="77777777" w:rsidR="00135F4C" w:rsidRPr="00460F24" w:rsidRDefault="00135F4C" w:rsidP="00135F4C">
      <w:pPr>
        <w:jc w:val="center"/>
        <w:rPr>
          <w:i/>
        </w:rPr>
      </w:pPr>
    </w:p>
    <w:p w14:paraId="03C269E3" w14:textId="07A09500" w:rsidR="00873655" w:rsidRPr="00460F24" w:rsidRDefault="00135F4C" w:rsidP="00557966">
      <w:pPr>
        <w:jc w:val="center"/>
        <w:rPr>
          <w:i/>
        </w:rPr>
      </w:pPr>
      <w:r w:rsidRPr="00460F24">
        <w:rPr>
          <w:i/>
        </w:rPr>
        <w:t xml:space="preserve">«Transformasjonsinnsatsen </w:t>
      </w:r>
      <w:r w:rsidR="006A4771">
        <w:rPr>
          <w:i/>
        </w:rPr>
        <w:t xml:space="preserve">har vært </w:t>
      </w:r>
      <w:r w:rsidRPr="00460F24">
        <w:rPr>
          <w:i/>
        </w:rPr>
        <w:t xml:space="preserve">drevet av store initiativer som understøtter grunnleggende IKT-funksjonalitet. </w:t>
      </w:r>
      <w:r w:rsidR="006A4771">
        <w:rPr>
          <w:i/>
        </w:rPr>
        <w:t>Vil dette endre seg framover og hvilke konsekvenser vil eventuelle endringer ha</w:t>
      </w:r>
      <w:r w:rsidRPr="00460F24">
        <w:rPr>
          <w:i/>
        </w:rPr>
        <w:t>?»</w:t>
      </w:r>
    </w:p>
    <w:p w14:paraId="1074D405" w14:textId="77777777" w:rsidR="00D65925" w:rsidRDefault="00D65925" w:rsidP="007C2F8E">
      <w:pPr>
        <w:tabs>
          <w:tab w:val="clear" w:pos="357"/>
        </w:tabs>
        <w:spacing w:after="0" w:line="240" w:lineRule="auto"/>
      </w:pPr>
    </w:p>
    <w:p w14:paraId="6EDF2391" w14:textId="77777777" w:rsidR="00873655" w:rsidRPr="002174BF" w:rsidRDefault="00873655" w:rsidP="00557966"/>
    <w:p w14:paraId="2F522EE5" w14:textId="77777777" w:rsidR="00CF6F4D" w:rsidRPr="00075613" w:rsidRDefault="00CF6F4D" w:rsidP="00CF6F4D"/>
    <w:p w14:paraId="2203CC84" w14:textId="6968570B" w:rsidR="00CF6F4D" w:rsidRDefault="004871E4" w:rsidP="00FA3715">
      <w:pPr>
        <w:pStyle w:val="Overskrift2"/>
      </w:pPr>
      <w:bookmarkStart w:id="124" w:name="_Toc119576431"/>
      <w:bookmarkStart w:id="125" w:name="_Toc119577241"/>
      <w:bookmarkStart w:id="126" w:name="_Toc119576432"/>
      <w:bookmarkStart w:id="127" w:name="_Toc119577242"/>
      <w:bookmarkStart w:id="128" w:name="_Toc146784547"/>
      <w:bookmarkEnd w:id="124"/>
      <w:bookmarkEnd w:id="125"/>
      <w:bookmarkEnd w:id="126"/>
      <w:bookmarkEnd w:id="127"/>
      <w:r>
        <w:t>Hvordan har sektoren tatt i bruk skyteknologi?</w:t>
      </w:r>
      <w:bookmarkEnd w:id="128"/>
    </w:p>
    <w:p w14:paraId="08AECE28" w14:textId="77777777" w:rsidR="00677331" w:rsidRDefault="00677331" w:rsidP="00677331"/>
    <w:p w14:paraId="41E4B8F6" w14:textId="77777777" w:rsidR="00EB7FD0" w:rsidRPr="007C1995" w:rsidRDefault="00EB7FD0" w:rsidP="00EB7FD0">
      <w:pPr>
        <w:rPr>
          <w:b/>
          <w:bCs/>
        </w:rPr>
      </w:pPr>
      <w:r w:rsidRPr="007C1995">
        <w:rPr>
          <w:b/>
          <w:bCs/>
        </w:rPr>
        <w:t>Nøkkelfunn</w:t>
      </w:r>
    </w:p>
    <w:p w14:paraId="76E48DC2" w14:textId="77777777" w:rsidR="00B9787C" w:rsidRPr="00B9787C" w:rsidRDefault="00B9787C"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rsidRPr="00B9787C">
        <w:t xml:space="preserve">Sektoren har </w:t>
      </w:r>
      <w:r w:rsidRPr="00557966">
        <w:t>liten</w:t>
      </w:r>
      <w:r w:rsidRPr="00B9787C">
        <w:t xml:space="preserve">, men voksende innsats knyttet til skyteknologi. </w:t>
      </w:r>
    </w:p>
    <w:p w14:paraId="391F37C0" w14:textId="4DEBB5D2" w:rsidR="00B9787C" w:rsidRPr="00B9787C" w:rsidRDefault="00B9787C"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rsidRPr="00B9787C">
        <w:t xml:space="preserve">De viktigste hindringene for bruk av skyteknologi er knyttet til </w:t>
      </w:r>
      <w:r w:rsidR="009177CE">
        <w:t>tolkning av</w:t>
      </w:r>
      <w:r w:rsidR="00C7506E">
        <w:t xml:space="preserve"> implikasjonene av </w:t>
      </w:r>
      <w:r w:rsidRPr="00557966">
        <w:t xml:space="preserve">SCHREMS-II og </w:t>
      </w:r>
      <w:r w:rsidR="00C7506E">
        <w:t xml:space="preserve">aktørenes </w:t>
      </w:r>
      <w:r w:rsidRPr="00557966">
        <w:t>dataansvar</w:t>
      </w:r>
      <w:r w:rsidRPr="00B9787C">
        <w:t>.</w:t>
      </w:r>
    </w:p>
    <w:p w14:paraId="7DAA865B" w14:textId="4EB71414" w:rsidR="00B9787C" w:rsidRPr="00B9787C" w:rsidRDefault="00C7506E"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t>Små kompetansemiljøer innen</w:t>
      </w:r>
      <w:r w:rsidR="00B9787C" w:rsidRPr="00B9787C">
        <w:t xml:space="preserve"> </w:t>
      </w:r>
      <w:r w:rsidR="00B9787C" w:rsidRPr="00557966">
        <w:t>sky</w:t>
      </w:r>
      <w:r w:rsidR="00B9787C" w:rsidRPr="00B9787C">
        <w:t xml:space="preserve"> og </w:t>
      </w:r>
      <w:r w:rsidR="00C55EB6">
        <w:t xml:space="preserve">mangel på </w:t>
      </w:r>
      <w:r w:rsidR="00B9787C" w:rsidRPr="00557966">
        <w:t xml:space="preserve">sektorspesifikk veiledning </w:t>
      </w:r>
      <w:r w:rsidR="00C55EB6">
        <w:t xml:space="preserve">som tar for seg sektorens utfordringer </w:t>
      </w:r>
      <w:r w:rsidR="00E57CFB">
        <w:t>knyttet</w:t>
      </w:r>
      <w:r w:rsidR="00C55EB6">
        <w:t xml:space="preserve"> til tol</w:t>
      </w:r>
      <w:r w:rsidR="00E57CFB">
        <w:t xml:space="preserve">kning av gjeldende regelverk </w:t>
      </w:r>
      <w:r w:rsidR="00B9787C" w:rsidRPr="00B9787C">
        <w:t>bidrar til å bremse opp om utviklingen.</w:t>
      </w:r>
    </w:p>
    <w:p w14:paraId="10EF7031" w14:textId="77777777" w:rsidR="00EB7FD0" w:rsidRPr="00557966" w:rsidRDefault="00EB7FD0" w:rsidP="00EB7FD0"/>
    <w:p w14:paraId="4DDC2E19" w14:textId="2B5F5BEB" w:rsidR="004871E4" w:rsidRPr="00EA4D46" w:rsidRDefault="00EB39D2" w:rsidP="00557966">
      <w:r>
        <w:rPr>
          <w:b/>
          <w:bCs/>
        </w:rPr>
        <w:t>Underbyggende a</w:t>
      </w:r>
      <w:r w:rsidRPr="007C1995">
        <w:rPr>
          <w:b/>
          <w:bCs/>
        </w:rPr>
        <w:t>nalyse</w:t>
      </w:r>
    </w:p>
    <w:p w14:paraId="332C5C69" w14:textId="5088591A" w:rsidR="009E72EB" w:rsidRDefault="009E72EB" w:rsidP="00A57218">
      <w:r w:rsidRPr="009E72EB">
        <w:t xml:space="preserve">Som et ledd i den </w:t>
      </w:r>
      <w:r>
        <w:t xml:space="preserve">pågående </w:t>
      </w:r>
      <w:r w:rsidRPr="009E72EB">
        <w:t xml:space="preserve">digitaliseringen </w:t>
      </w:r>
      <w:r>
        <w:t xml:space="preserve">av offentlig sektor </w:t>
      </w:r>
      <w:r w:rsidRPr="009E72EB">
        <w:t>har det lenge vært kommunisert fra myndighetene at virksomheter skal vurdere bruk av skytjenester ved anskaffelser av nye systemer eller oppgradering av eksisterende IKT-systemer.</w:t>
      </w:r>
      <w:r w:rsidR="00056981">
        <w:t xml:space="preserve"> Det er mange for</w:t>
      </w:r>
      <w:r w:rsidR="00D90E83">
        <w:t>deler ved bruk av skyteknologi</w:t>
      </w:r>
      <w:r w:rsidR="00CA0C76">
        <w:t xml:space="preserve">, men </w:t>
      </w:r>
      <w:r w:rsidR="00615E4E">
        <w:t xml:space="preserve">de siste årene har juridiske barrierer og usikkerhet knyttet til </w:t>
      </w:r>
      <w:r w:rsidR="009B35B1">
        <w:t xml:space="preserve">bruk av skyaktører utenfor </w:t>
      </w:r>
      <w:r w:rsidR="007F73B3">
        <w:t>Europa vært et gjengående tema i skydiskusjonen.</w:t>
      </w:r>
      <w:r w:rsidR="004A35B7">
        <w:t xml:space="preserve"> </w:t>
      </w:r>
      <w:r w:rsidR="007F73B3">
        <w:t xml:space="preserve">For å belyse hvordan helse og </w:t>
      </w:r>
      <w:r w:rsidR="0037001B">
        <w:t>omsorgssektoren</w:t>
      </w:r>
      <w:r w:rsidR="007F73B3">
        <w:t xml:space="preserve"> har tatt i bruk skyteknologi har vi tatt utgangspunkt i </w:t>
      </w:r>
      <w:r w:rsidR="0037001B">
        <w:t>innrapporterte</w:t>
      </w:r>
      <w:r w:rsidR="007F73B3">
        <w:t xml:space="preserve"> kostnadstall</w:t>
      </w:r>
      <w:r w:rsidR="00ED5A5F">
        <w:t xml:space="preserve">, samt gjort en </w:t>
      </w:r>
      <w:r w:rsidR="00F960E9">
        <w:t xml:space="preserve">enkel </w:t>
      </w:r>
      <w:r w:rsidR="0037001B">
        <w:t>omverdensanalyse</w:t>
      </w:r>
      <w:r w:rsidR="00F77679">
        <w:t xml:space="preserve"> </w:t>
      </w:r>
      <w:r w:rsidR="004A35B7">
        <w:t>for å se hvilke faktorer som akselerer og hvilke faktorer som bremser bruk av skyteknologi i sektoren.</w:t>
      </w:r>
    </w:p>
    <w:p w14:paraId="0264AA32" w14:textId="2F70A8DB" w:rsidR="00A57218" w:rsidRDefault="000A1A46" w:rsidP="00A57218">
      <w:r>
        <w:rPr>
          <w:noProof/>
        </w:rPr>
        <mc:AlternateContent>
          <mc:Choice Requires="wps">
            <w:drawing>
              <wp:anchor distT="0" distB="0" distL="114300" distR="114300" simplePos="0" relativeHeight="251666442" behindDoc="0" locked="0" layoutInCell="1" allowOverlap="1" wp14:anchorId="35993726" wp14:editId="4B855211">
                <wp:simplePos x="0" y="0"/>
                <wp:positionH relativeFrom="margin">
                  <wp:align>right</wp:align>
                </wp:positionH>
                <wp:positionV relativeFrom="paragraph">
                  <wp:posOffset>2488733</wp:posOffset>
                </wp:positionV>
                <wp:extent cx="3626485" cy="635"/>
                <wp:effectExtent l="0" t="0" r="0" b="6350"/>
                <wp:wrapSquare wrapText="bothSides"/>
                <wp:docPr id="10" name="Tekstboks 10"/>
                <wp:cNvGraphicFramePr/>
                <a:graphic xmlns:a="http://schemas.openxmlformats.org/drawingml/2006/main">
                  <a:graphicData uri="http://schemas.microsoft.com/office/word/2010/wordprocessingShape">
                    <wps:wsp>
                      <wps:cNvSpPr txBox="1"/>
                      <wps:spPr>
                        <a:xfrm>
                          <a:off x="0" y="0"/>
                          <a:ext cx="3626485" cy="635"/>
                        </a:xfrm>
                        <a:prstGeom prst="rect">
                          <a:avLst/>
                        </a:prstGeom>
                        <a:solidFill>
                          <a:prstClr val="white"/>
                        </a:solidFill>
                        <a:ln>
                          <a:noFill/>
                        </a:ln>
                      </wps:spPr>
                      <wps:txbx>
                        <w:txbxContent>
                          <w:p w14:paraId="4C8F1267" w14:textId="70496FD0" w:rsidR="000A1A46" w:rsidRPr="00BF2B91" w:rsidRDefault="000A1A46" w:rsidP="00CD3270">
                            <w:pPr>
                              <w:pStyle w:val="Bildetekst"/>
                              <w:rPr>
                                <w:noProof/>
                              </w:rPr>
                            </w:pPr>
                            <w:r>
                              <w:t>Figur 15: Kostnader knyttet til allmenne skytjenester i helseregioner og helseforvaltningen 2018-2021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93726" id="Tekstboks 10" o:spid="_x0000_s1029" type="#_x0000_t202" style="position:absolute;margin-left:234.35pt;margin-top:195.95pt;width:285.55pt;height:.05pt;z-index:25166644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BjGgIAAD8EAAAOAAAAZHJzL2Uyb0RvYy54bWysU99v2jAQfp+0/8Hy+wjQF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5vZtPZ57tbziT5Zje3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" stroked="f">
                <v:textbox style="mso-fit-shape-to-text:t" inset="0,0,0,0">
                  <w:txbxContent>
                    <w:p w14:paraId="4C8F1267" w14:textId="70496FD0" w:rsidR="000A1A46" w:rsidRPr="00BF2B91" w:rsidRDefault="000A1A46" w:rsidP="00CD3270">
                      <w:pPr>
                        <w:pStyle w:val="Bildetekst"/>
                        <w:rPr>
                          <w:noProof/>
                        </w:rPr>
                      </w:pPr>
                      <w:r>
                        <w:t>Figur 15: Kostnader knyttet til allmenne skytjenester i helseregioner og helseforvaltningen 2018-2021</w:t>
                      </w:r>
                    </w:p>
                  </w:txbxContent>
                </v:textbox>
                <w10:wrap type="square" anchorx="margin"/>
              </v:shape>
            </w:pict>
          </mc:Fallback>
        </mc:AlternateContent>
      </w:r>
      <w:r w:rsidR="004A35B7">
        <w:rPr>
          <w:noProof/>
        </w:rPr>
        <w:drawing>
          <wp:anchor distT="0" distB="0" distL="114300" distR="114300" simplePos="0" relativeHeight="251658246" behindDoc="0" locked="0" layoutInCell="1" allowOverlap="1" wp14:anchorId="4B80F855" wp14:editId="3CF16200">
            <wp:simplePos x="0" y="0"/>
            <wp:positionH relativeFrom="margin">
              <wp:align>right</wp:align>
            </wp:positionH>
            <wp:positionV relativeFrom="paragraph">
              <wp:posOffset>6985</wp:posOffset>
            </wp:positionV>
            <wp:extent cx="3626485" cy="2433320"/>
            <wp:effectExtent l="0" t="0" r="0" b="5080"/>
            <wp:wrapSquare wrapText="bothSides"/>
            <wp:docPr id="223" name="Bilde 339" descr="Søylediagram som viser konstander knyttet til allmenne skytjenester i helseregionene og helseforvaltningen fra 2018 til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e 339" descr="Søylediagram som viser konstander knyttet til allmenne skytjenester i helseregionene og helseforvaltningen fra 2018 til 2021.  "/>
                    <pic:cNvPicPr>
                      <a:picLocks noChangeAspect="1" noChangeArrowheads="1"/>
                    </pic:cNvPicPr>
                  </pic:nvPicPr>
                  <pic:blipFill>
                    <a:blip r:embed="rId28"/>
                    <a:stretch>
                      <a:fillRect/>
                    </a:stretch>
                  </pic:blipFill>
                  <pic:spPr bwMode="auto">
                    <a:xfrm>
                      <a:off x="0" y="0"/>
                      <a:ext cx="3626485" cy="2433320"/>
                    </a:xfrm>
                    <a:prstGeom prst="rect">
                      <a:avLst/>
                    </a:prstGeom>
                    <a:noFill/>
                  </pic:spPr>
                </pic:pic>
              </a:graphicData>
            </a:graphic>
            <wp14:sizeRelH relativeFrom="margin">
              <wp14:pctWidth>0</wp14:pctWidth>
            </wp14:sizeRelH>
            <wp14:sizeRelV relativeFrom="margin">
              <wp14:pctHeight>0</wp14:pctHeight>
            </wp14:sizeRelV>
          </wp:anchor>
        </w:drawing>
      </w:r>
      <w:r w:rsidR="00A57218">
        <w:t>Helseregionene og helseforvaltningen benytter seg i liten grad av allmenne skytjenester, men utnyttelsen har økt de siste årene.</w:t>
      </w:r>
      <w:r w:rsidR="00246855">
        <w:t xml:space="preserve"> </w:t>
      </w:r>
      <w:r w:rsidR="00A57218">
        <w:t>Helseforvaltningen har hatt en større økning i utnyttelse av allmenne skytjenester enn helseregionene de siste årene og brukte like mye på allmenne skytjenester som helseregionene i 2021. Virksomhetene i helseforvaltningen brukte 0,4% av det totale IKT-budsjettet på allmenne skytjenester, mens helseregionene med lokale helseforetak brukte 0,2% av IKT-budsjettet på allmenne skytjenester i 2021.</w:t>
      </w:r>
      <w:r w:rsidR="00A57218" w:rsidRPr="00912EA7">
        <w:t xml:space="preserve"> </w:t>
      </w:r>
    </w:p>
    <w:p w14:paraId="6AE1EEEB" w14:textId="77777777" w:rsidR="00A57218" w:rsidRPr="00535763" w:rsidRDefault="00A57218" w:rsidP="00A57218">
      <w:r w:rsidRPr="00535763">
        <w:t xml:space="preserve">Kostnadsbildet viser at </w:t>
      </w:r>
      <w:r>
        <w:t>helseregionene og helseforvaltningen</w:t>
      </w:r>
      <w:r w:rsidRPr="00535763">
        <w:t xml:space="preserve"> foreløpig ikke har </w:t>
      </w:r>
      <w:r>
        <w:t xml:space="preserve">utnyttet </w:t>
      </w:r>
      <w:r w:rsidRPr="00535763">
        <w:t xml:space="preserve">allmenne skytjenester </w:t>
      </w:r>
      <w:r>
        <w:t>av et slikt omfang</w:t>
      </w:r>
      <w:r w:rsidRPr="00535763">
        <w:t xml:space="preserve"> at det</w:t>
      </w:r>
      <w:r>
        <w:t xml:space="preserve"> gir synlige gevinster i sektoren. Dette indikerer at virksomhetene i sektoren har </w:t>
      </w:r>
      <w:r w:rsidDel="00191220">
        <w:t xml:space="preserve">et uutnyttet </w:t>
      </w:r>
      <w:r>
        <w:t xml:space="preserve">potensial for å hente ut flere kjente </w:t>
      </w:r>
      <w:r>
        <w:lastRenderedPageBreak/>
        <w:t xml:space="preserve">gevinster fra bruk av allmenne skytjenester som økte </w:t>
      </w:r>
      <w:r w:rsidRPr="00535763">
        <w:t>kostnadsbesparelser, økt IKT-effektivitet og -produktivitet, økt IKT-tilgjengelighet og -pålitelighet, økt IKT-</w:t>
      </w:r>
      <w:proofErr w:type="spellStart"/>
      <w:r w:rsidRPr="00535763">
        <w:t>skalerbarhet</w:t>
      </w:r>
      <w:proofErr w:type="spellEnd"/>
      <w:r w:rsidRPr="00535763">
        <w:t xml:space="preserve"> og -fleksibilitet og </w:t>
      </w:r>
      <w:r>
        <w:t>økt innovasjon</w:t>
      </w:r>
      <w:r w:rsidRPr="00535763">
        <w:t>.</w:t>
      </w:r>
    </w:p>
    <w:p w14:paraId="78979466" w14:textId="40D31A01" w:rsidR="00A57218" w:rsidRDefault="00A57218" w:rsidP="00A57218">
      <w:pPr>
        <w:tabs>
          <w:tab w:val="clear" w:pos="357"/>
        </w:tabs>
        <w:spacing w:after="0" w:line="240" w:lineRule="auto"/>
      </w:pPr>
      <w:r w:rsidRPr="00535763">
        <w:t xml:space="preserve">Det forventes at andelen IKT-kostnader til allmenne skytjenester vil fortsette å øke i årene fremover, men at en større andel av IKT-kostnadene </w:t>
      </w:r>
      <w:r>
        <w:t>trolig vil brukes til</w:t>
      </w:r>
      <w:r w:rsidRPr="00535763">
        <w:t xml:space="preserve"> private </w:t>
      </w:r>
      <w:r>
        <w:t xml:space="preserve">tjenester fremfor allmenne </w:t>
      </w:r>
      <w:r w:rsidRPr="00535763">
        <w:t>skytjenester</w:t>
      </w:r>
      <w:r>
        <w:t xml:space="preserve">. </w:t>
      </w:r>
      <w:r w:rsidRPr="00535763">
        <w:t xml:space="preserve">NHN lanserte sin egen privat sky i 2020 og har som mål å tilby private </w:t>
      </w:r>
      <w:proofErr w:type="spellStart"/>
      <w:r w:rsidRPr="00535763">
        <w:t>IaaS</w:t>
      </w:r>
      <w:proofErr w:type="spellEnd"/>
      <w:r w:rsidRPr="00535763">
        <w:t xml:space="preserve"> og </w:t>
      </w:r>
      <w:proofErr w:type="spellStart"/>
      <w:r w:rsidRPr="00535763">
        <w:t>PaaS</w:t>
      </w:r>
      <w:proofErr w:type="spellEnd"/>
      <w:r w:rsidRPr="00535763">
        <w:t>-tjenester til sine egne kunder i årene fremover</w:t>
      </w:r>
      <w:r>
        <w:t xml:space="preserve">. </w:t>
      </w:r>
      <w:r w:rsidR="004A04A0">
        <w:t xml:space="preserve"> </w:t>
      </w:r>
      <w:r w:rsidR="004A04A0" w:rsidRPr="004A04A0">
        <w:t xml:space="preserve">Bruken av private skytjenester vil kunne gi mange av de samme gevinstene som bruken av allmenne skytjenester, men det vil være vanskeligere å oppnå et like stort potensial for kostnadsbesparelser som allmenne skytjenester. Dette skyldes at private skytjenester blir mer kostnadskrevende hvis ikke nødvendig standardisering og kritisk masse for å fullt dra nytte av </w:t>
      </w:r>
      <w:proofErr w:type="spellStart"/>
      <w:r w:rsidR="004A04A0" w:rsidRPr="004A04A0">
        <w:t>skalafordeler</w:t>
      </w:r>
      <w:proofErr w:type="spellEnd"/>
      <w:r w:rsidR="004A04A0" w:rsidRPr="004A04A0">
        <w:t xml:space="preserve"> blir oppnådd. I denne rapporten har </w:t>
      </w:r>
      <w:r w:rsidR="002D1BA1">
        <w:t xml:space="preserve">vi ikke gjennomført analyser </w:t>
      </w:r>
      <w:r w:rsidR="004A04A0" w:rsidRPr="004A04A0">
        <w:t>på hvorvidt disse kriteriene er oppnådd og vi har derfor konsentrert oss om allmenne skytjenester.</w:t>
      </w:r>
    </w:p>
    <w:p w14:paraId="691FEC3C" w14:textId="1C1C0BE2" w:rsidR="00696A38" w:rsidRDefault="00EC6698" w:rsidP="00557966">
      <w:pPr>
        <w:spacing w:before="240"/>
      </w:pPr>
      <w:r>
        <w:t xml:space="preserve">For å </w:t>
      </w:r>
      <w:r w:rsidR="00FB2F5C">
        <w:t xml:space="preserve">belyse spørsmål knyttet til bruk av skyteknologi ble det </w:t>
      </w:r>
      <w:r w:rsidR="000A09A5">
        <w:t>i forbindelse med IKT-ressursrapport</w:t>
      </w:r>
      <w:r>
        <w:t xml:space="preserve"> for 2021</w:t>
      </w:r>
      <w:r w:rsidR="00D34F84">
        <w:t xml:space="preserve"> </w:t>
      </w:r>
      <w:r w:rsidR="000A09A5">
        <w:t xml:space="preserve">gjennomført en omverdensanalyse i form av en </w:t>
      </w:r>
      <w:r w:rsidR="00B14103">
        <w:t xml:space="preserve">begrenset </w:t>
      </w:r>
      <w:r w:rsidR="000A09A5">
        <w:t>PEST</w:t>
      </w:r>
      <w:r w:rsidR="00CD7C35">
        <w:t>E</w:t>
      </w:r>
      <w:r w:rsidR="000A09A5">
        <w:t>L for skybruk i helsesektoren. Det bemerke</w:t>
      </w:r>
      <w:r w:rsidR="007830F8">
        <w:t>s</w:t>
      </w:r>
      <w:r w:rsidR="000A09A5">
        <w:t xml:space="preserve"> at analysen er gjennomført med et overordnet nasjonalt fokus, og at en fullskala PESTEL bør vurderes dersom man skal gjøre et dypdykk i </w:t>
      </w:r>
      <w:r w:rsidR="008623D0">
        <w:t xml:space="preserve">faktorene som påvirker skybruk </w:t>
      </w:r>
      <w:r w:rsidR="000A09A5">
        <w:t>i helsesektoren.</w:t>
      </w:r>
    </w:p>
    <w:tbl>
      <w:tblPr>
        <w:tblStyle w:val="Vanligtabell11"/>
        <w:tblW w:w="0" w:type="auto"/>
        <w:tblLook w:val="04A0" w:firstRow="1" w:lastRow="0" w:firstColumn="1" w:lastColumn="0" w:noHBand="0" w:noVBand="1"/>
      </w:tblPr>
      <w:tblGrid>
        <w:gridCol w:w="1838"/>
        <w:gridCol w:w="7222"/>
      </w:tblGrid>
      <w:tr w:rsidR="000A09A5" w14:paraId="08B0D63E" w14:textId="77777777" w:rsidTr="00875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EA50D5" w14:textId="77777777" w:rsidR="000A09A5" w:rsidRPr="00453895" w:rsidRDefault="000A09A5" w:rsidP="001868AB">
            <w:pPr>
              <w:rPr>
                <w:b w:val="0"/>
              </w:rPr>
            </w:pPr>
            <w:r w:rsidRPr="00453895">
              <w:t>Makrofaktor</w:t>
            </w:r>
          </w:p>
        </w:tc>
        <w:tc>
          <w:tcPr>
            <w:tcW w:w="7222" w:type="dxa"/>
          </w:tcPr>
          <w:p w14:paraId="0C2BD5AC" w14:textId="77777777" w:rsidR="000A09A5" w:rsidRPr="00453895" w:rsidRDefault="000A09A5" w:rsidP="001868AB">
            <w:pPr>
              <w:cnfStyle w:val="100000000000" w:firstRow="1" w:lastRow="0" w:firstColumn="0" w:lastColumn="0" w:oddVBand="0" w:evenVBand="0" w:oddHBand="0" w:evenHBand="0" w:firstRowFirstColumn="0" w:firstRowLastColumn="0" w:lastRowFirstColumn="0" w:lastRowLastColumn="0"/>
              <w:rPr>
                <w:b w:val="0"/>
              </w:rPr>
            </w:pPr>
            <w:r w:rsidRPr="00453895">
              <w:t>Viktigste momenter</w:t>
            </w:r>
          </w:p>
        </w:tc>
      </w:tr>
      <w:tr w:rsidR="000A09A5" w14:paraId="28FB224B" w14:textId="77777777" w:rsidTr="0087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17C931" w14:textId="77777777" w:rsidR="000A09A5" w:rsidRDefault="000A09A5" w:rsidP="00875E2F">
            <w:pPr>
              <w:spacing w:line="240" w:lineRule="auto"/>
              <w:jc w:val="center"/>
            </w:pPr>
            <w:r>
              <w:t>Politisk</w:t>
            </w:r>
          </w:p>
        </w:tc>
        <w:tc>
          <w:tcPr>
            <w:tcW w:w="7222" w:type="dxa"/>
          </w:tcPr>
          <w:p w14:paraId="428E06E9" w14:textId="4F31424F" w:rsidR="000A09A5" w:rsidRDefault="000A09A5"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Tydelige føringer fra direktorat</w:t>
            </w:r>
            <w:r w:rsidR="0077487C">
              <w:t>er</w:t>
            </w:r>
            <w:r>
              <w:t xml:space="preserve"> og politisk ledelse på å vurdere bruk av sky</w:t>
            </w:r>
          </w:p>
          <w:p w14:paraId="1E1AD703" w14:textId="09B3F747" w:rsidR="0025199F" w:rsidRDefault="0025199F"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Motstridende råd og vurderinger fra myndighetsorganer</w:t>
            </w:r>
          </w:p>
          <w:p w14:paraId="45DC5CFE" w14:textId="048C86C5" w:rsidR="00C34644" w:rsidRDefault="006D5D3E"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Flere offentlige veiledere</w:t>
            </w:r>
            <w:r w:rsidR="00C34644">
              <w:t xml:space="preserve"> for skybruk</w:t>
            </w:r>
          </w:p>
          <w:p w14:paraId="5DABF5A2" w14:textId="40F9680F" w:rsidR="000A09A5" w:rsidRDefault="00C34644"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L</w:t>
            </w:r>
            <w:r w:rsidR="006D5D3E">
              <w:t>ite sektorspesifikk veiledning</w:t>
            </w:r>
            <w:r>
              <w:t xml:space="preserve"> for skybruk</w:t>
            </w:r>
          </w:p>
        </w:tc>
      </w:tr>
      <w:tr w:rsidR="000A09A5" w14:paraId="7B8FC226" w14:textId="77777777" w:rsidTr="00875E2F">
        <w:tc>
          <w:tcPr>
            <w:cnfStyle w:val="001000000000" w:firstRow="0" w:lastRow="0" w:firstColumn="1" w:lastColumn="0" w:oddVBand="0" w:evenVBand="0" w:oddHBand="0" w:evenHBand="0" w:firstRowFirstColumn="0" w:firstRowLastColumn="0" w:lastRowFirstColumn="0" w:lastRowLastColumn="0"/>
            <w:tcW w:w="1838" w:type="dxa"/>
          </w:tcPr>
          <w:p w14:paraId="455F53F0" w14:textId="77777777" w:rsidR="000A09A5" w:rsidRDefault="000A09A5" w:rsidP="00875E2F">
            <w:pPr>
              <w:spacing w:line="240" w:lineRule="auto"/>
              <w:jc w:val="center"/>
            </w:pPr>
            <w:r>
              <w:t>Juridisk</w:t>
            </w:r>
          </w:p>
        </w:tc>
        <w:tc>
          <w:tcPr>
            <w:tcW w:w="7222" w:type="dxa"/>
          </w:tcPr>
          <w:p w14:paraId="7523FCF8" w14:textId="701336C5" w:rsidR="000A09A5" w:rsidRDefault="000A09A5" w:rsidP="00875E2F">
            <w:pPr>
              <w:pStyle w:val="Listeavsnitt"/>
              <w:numPr>
                <w:ilvl w:val="0"/>
                <w:numId w:val="20"/>
              </w:numPr>
              <w:spacing w:line="240" w:lineRule="auto"/>
              <w:cnfStyle w:val="000000000000" w:firstRow="0" w:lastRow="0" w:firstColumn="0" w:lastColumn="0" w:oddVBand="0" w:evenVBand="0" w:oddHBand="0" w:evenHBand="0" w:firstRowFirstColumn="0" w:firstRowLastColumn="0" w:lastRowFirstColumn="0" w:lastRowLastColumn="0"/>
            </w:pPr>
            <w:r>
              <w:t>Stor usikkerhet knyttet til</w:t>
            </w:r>
            <w:r w:rsidR="008623D0">
              <w:t xml:space="preserve"> </w:t>
            </w:r>
            <w:r w:rsidR="00BC04BD">
              <w:t>tolkningen av implikasjonene av</w:t>
            </w:r>
            <w:r>
              <w:t xml:space="preserve"> SCHREMS</w:t>
            </w:r>
            <w:r w:rsidR="00BC04BD">
              <w:t>-II</w:t>
            </w:r>
          </w:p>
          <w:p w14:paraId="00ACADAF" w14:textId="5FDE71DB" w:rsidR="000A09A5" w:rsidRDefault="006D5D3E" w:rsidP="00875E2F">
            <w:pPr>
              <w:pStyle w:val="Listeavsnitt"/>
              <w:numPr>
                <w:ilvl w:val="0"/>
                <w:numId w:val="20"/>
              </w:numPr>
              <w:spacing w:line="240" w:lineRule="auto"/>
              <w:cnfStyle w:val="000000000000" w:firstRow="0" w:lastRow="0" w:firstColumn="0" w:lastColumn="0" w:oddVBand="0" w:evenVBand="0" w:oddHBand="0" w:evenHBand="0" w:firstRowFirstColumn="0" w:firstRowLastColumn="0" w:lastRowFirstColumn="0" w:lastRowLastColumn="0"/>
            </w:pPr>
            <w:r>
              <w:t>Tolkning og tydeliggjøring av juridiske og sikkerhetsmessige utfordringer legges på enkeltaktørene</w:t>
            </w:r>
          </w:p>
        </w:tc>
      </w:tr>
      <w:tr w:rsidR="000A09A5" w14:paraId="57342E49" w14:textId="77777777" w:rsidTr="00875E2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838" w:type="dxa"/>
          </w:tcPr>
          <w:p w14:paraId="5518391F" w14:textId="77777777" w:rsidR="000A09A5" w:rsidRDefault="000A09A5" w:rsidP="00875E2F">
            <w:pPr>
              <w:spacing w:line="240" w:lineRule="auto"/>
              <w:jc w:val="center"/>
            </w:pPr>
            <w:r>
              <w:t>Teknologisk</w:t>
            </w:r>
          </w:p>
        </w:tc>
        <w:tc>
          <w:tcPr>
            <w:tcW w:w="7222" w:type="dxa"/>
          </w:tcPr>
          <w:p w14:paraId="1D542F4F" w14:textId="4C7B1B8D" w:rsidR="000A09A5" w:rsidRDefault="002520DD"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Bruk av s</w:t>
            </w:r>
            <w:r w:rsidR="000A09A5">
              <w:t xml:space="preserve">kyteknologi er også et organisatorisk strukturvalg </w:t>
            </w:r>
            <w:r w:rsidR="00B329CA">
              <w:t xml:space="preserve">som </w:t>
            </w:r>
            <w:r w:rsidR="00291A37">
              <w:t xml:space="preserve">også </w:t>
            </w:r>
            <w:r w:rsidR="00B329CA">
              <w:t xml:space="preserve">omfatter kompetanse og </w:t>
            </w:r>
            <w:r w:rsidR="00291A37">
              <w:t>kontroll</w:t>
            </w:r>
          </w:p>
          <w:p w14:paraId="788312D5" w14:textId="15843DA8" w:rsidR="000A09A5" w:rsidRDefault="0024759E"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Sektoren</w:t>
            </w:r>
            <w:r w:rsidR="002520DD">
              <w:t xml:space="preserve"> har gjort</w:t>
            </w:r>
            <w:r w:rsidR="000A09A5">
              <w:t xml:space="preserve"> investeringer i både utstyr og kompetanse på tradisjonell infrastrukturdrift</w:t>
            </w:r>
          </w:p>
          <w:p w14:paraId="41A7A365" w14:textId="4B9E9240" w:rsidR="00EC0414" w:rsidRDefault="00EC0414"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Stadig flere applikasjoner </w:t>
            </w:r>
            <w:r w:rsidR="000C6A6F">
              <w:t xml:space="preserve">og nyvinninger </w:t>
            </w:r>
            <w:r>
              <w:t>utvikles på skyplat</w:t>
            </w:r>
            <w:r w:rsidR="000C6A6F">
              <w:t>t</w:t>
            </w:r>
            <w:r>
              <w:t>former</w:t>
            </w:r>
          </w:p>
        </w:tc>
      </w:tr>
      <w:tr w:rsidR="000A09A5" w14:paraId="77B334E5" w14:textId="77777777" w:rsidTr="00875E2F">
        <w:tc>
          <w:tcPr>
            <w:cnfStyle w:val="001000000000" w:firstRow="0" w:lastRow="0" w:firstColumn="1" w:lastColumn="0" w:oddVBand="0" w:evenVBand="0" w:oddHBand="0" w:evenHBand="0" w:firstRowFirstColumn="0" w:firstRowLastColumn="0" w:lastRowFirstColumn="0" w:lastRowLastColumn="0"/>
            <w:tcW w:w="1838" w:type="dxa"/>
          </w:tcPr>
          <w:p w14:paraId="07E08322" w14:textId="77777777" w:rsidR="000A09A5" w:rsidRDefault="000A09A5" w:rsidP="00875E2F">
            <w:pPr>
              <w:spacing w:line="240" w:lineRule="auto"/>
              <w:jc w:val="center"/>
            </w:pPr>
            <w:r>
              <w:t>Økonomisk</w:t>
            </w:r>
          </w:p>
        </w:tc>
        <w:tc>
          <w:tcPr>
            <w:tcW w:w="7222" w:type="dxa"/>
          </w:tcPr>
          <w:p w14:paraId="4B13764F" w14:textId="77777777" w:rsidR="000A09A5" w:rsidRDefault="000A09A5" w:rsidP="00875E2F">
            <w:pPr>
              <w:pStyle w:val="Listeavsnit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pPr>
            <w:r>
              <w:t>Effektiviseringsgevinster i form av fleksibel ressursallokering</w:t>
            </w:r>
          </w:p>
          <w:p w14:paraId="44AE8F10" w14:textId="77777777" w:rsidR="000A09A5" w:rsidRDefault="000A09A5" w:rsidP="00875E2F">
            <w:pPr>
              <w:pStyle w:val="Listeavsnit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pPr>
            <w:r>
              <w:t>Krever kritisk masse</w:t>
            </w:r>
          </w:p>
        </w:tc>
      </w:tr>
      <w:tr w:rsidR="000A09A5" w14:paraId="17F254CE" w14:textId="77777777" w:rsidTr="0087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013E76" w14:textId="77777777" w:rsidR="000A09A5" w:rsidRDefault="000A09A5" w:rsidP="00875E2F">
            <w:pPr>
              <w:spacing w:line="240" w:lineRule="auto"/>
              <w:jc w:val="center"/>
            </w:pPr>
            <w:r>
              <w:t>Sosialt</w:t>
            </w:r>
          </w:p>
        </w:tc>
        <w:tc>
          <w:tcPr>
            <w:tcW w:w="7222" w:type="dxa"/>
          </w:tcPr>
          <w:p w14:paraId="17C605B8" w14:textId="77777777" w:rsidR="000A09A5" w:rsidRDefault="000A09A5"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Liten kompetanse på skyteknologi</w:t>
            </w:r>
          </w:p>
          <w:p w14:paraId="22D616F2" w14:textId="77777777" w:rsidR="000A09A5" w:rsidRDefault="000A09A5"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Stort </w:t>
            </w:r>
            <w:proofErr w:type="gramStart"/>
            <w:r>
              <w:t>fokus</w:t>
            </w:r>
            <w:proofErr w:type="gramEnd"/>
            <w:r>
              <w:t xml:space="preserve"> på sikkerhet og omdømme</w:t>
            </w:r>
          </w:p>
          <w:p w14:paraId="0A3B171C" w14:textId="6F5D14E9" w:rsidR="000A09A5" w:rsidRDefault="00013264" w:rsidP="00875E2F">
            <w:pPr>
              <w:pStyle w:val="Listeavsnitt"/>
              <w:keepNex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Ingen aktører </w:t>
            </w:r>
            <w:r w:rsidR="00BC4990">
              <w:t>tar posisjon som fanebærer i skytransformasjonen</w:t>
            </w:r>
          </w:p>
        </w:tc>
      </w:tr>
    </w:tbl>
    <w:p w14:paraId="529F3BBB" w14:textId="4E7FA43F" w:rsidR="00C176AD" w:rsidRDefault="00CB30B2" w:rsidP="00CD3270">
      <w:pPr>
        <w:pStyle w:val="Bildetekst"/>
        <w:rPr>
          <w:noProof/>
        </w:rPr>
      </w:pPr>
      <w:r>
        <w:t xml:space="preserve">Tabell 3: Tabell </w:t>
      </w:r>
      <w:r w:rsidR="00C9389F">
        <w:t>med</w:t>
      </w:r>
      <w:r>
        <w:t xml:space="preserve"> omverdensfaktorer egnet til å påvirke beslutninger</w:t>
      </w:r>
      <w:r>
        <w:rPr>
          <w:noProof/>
        </w:rPr>
        <w:t xml:space="preserve"> knyttet til bruk av skyteknologi i Helse- og Omsorgssektoren</w:t>
      </w:r>
    </w:p>
    <w:p w14:paraId="6746DD56" w14:textId="77777777" w:rsidR="00172544" w:rsidRPr="00172544" w:rsidRDefault="00172544" w:rsidP="00875E2F"/>
    <w:p w14:paraId="46AC2F30" w14:textId="5BDE48E1" w:rsidR="000A09A5" w:rsidRDefault="000A09A5" w:rsidP="000A09A5">
      <w:pPr>
        <w:spacing w:before="240"/>
      </w:pPr>
      <w:r>
        <w:lastRenderedPageBreak/>
        <w:t>Flere viktige momenter som akselerer eller bremse bruk av skyteknologi ble trukket frem under intervjuer i utarbeidelse av analysen. Noe av det mest sentrale momentene var:</w:t>
      </w:r>
    </w:p>
    <w:p w14:paraId="569B21CC" w14:textId="4883682D" w:rsidR="000A09A5" w:rsidRDefault="000A09A5" w:rsidP="003C1BA8">
      <w:pPr>
        <w:pStyle w:val="Listeavsnitt"/>
        <w:numPr>
          <w:ilvl w:val="0"/>
          <w:numId w:val="18"/>
        </w:numPr>
      </w:pPr>
      <w:r>
        <w:t>Det er flere tydelige politiske signaler og føringer om å vurdere skyteknologi ved implementering av nye løsninger for sektoren, men juridiske hindre og usikkerhet særlig knyttet til SCHREMS</w:t>
      </w:r>
      <w:r w:rsidR="00A27273">
        <w:t>-</w:t>
      </w:r>
      <w:r>
        <w:t xml:space="preserve">II bremser denne utviklingen. Disse usikkerhetene blir forsterket </w:t>
      </w:r>
      <w:r w:rsidR="007550B2">
        <w:t xml:space="preserve">av at </w:t>
      </w:r>
      <w:r>
        <w:t xml:space="preserve">den juridiske enheten som har dataansvaret må gjøre en selvstendig vurdering om bruk av sky. Kombinert med mangel på skyspesifikk kompetanse og </w:t>
      </w:r>
      <w:r w:rsidDel="005A5582">
        <w:t>s</w:t>
      </w:r>
      <w:r>
        <w:t xml:space="preserve">ektorspesifikk veiledning, samt et høyt </w:t>
      </w:r>
      <w:proofErr w:type="gramStart"/>
      <w:r>
        <w:t>fokus</w:t>
      </w:r>
      <w:proofErr w:type="gramEnd"/>
      <w:r>
        <w:t xml:space="preserve"> på sikkerhet i sektoren, kan dette føre til en konservativ tilnærming til skyteknologi fra beslutningstakere, og bremse skytransformasjon i sektoren.</w:t>
      </w:r>
    </w:p>
    <w:p w14:paraId="7E2A3FBA" w14:textId="707AD9D3" w:rsidR="006315E8" w:rsidRDefault="000A09A5" w:rsidP="003C1BA8">
      <w:pPr>
        <w:pStyle w:val="Listeavsnitt"/>
        <w:numPr>
          <w:ilvl w:val="0"/>
          <w:numId w:val="18"/>
        </w:numPr>
      </w:pPr>
      <w:r>
        <w:t xml:space="preserve">Bruk av sky er ikke bare et teknologisk valg, men også et og strukturelt valg på organisasjonsnivå. Valg av skyteknologi er et valg i hvordan aktørene i sektoren utøver kontroll over egen data, med ulikt behov for kompetanse avhengig av om man utøver denne kontrollen operasjonelt gjennom en privat sky, eller gjennom å stille krav til en tjenestetilbyder. For å hente ut mange av effektiviseringsgevinstene knyttet til sky kreves det også at en viss kritisk masse av tjenester og applikasjoner flyttes til sky, og en nedenfra-og-opp tilnærming til skytransformasjon. Dette er faktorer som akselererer behovet for skykompetanse i sektoren, og krever bevisste og aktive valg knyttet til fremtidens organisasjonsstruktur på IKT-området i sektoren. </w:t>
      </w:r>
    </w:p>
    <w:p w14:paraId="2DA3DE79" w14:textId="7E07BC95" w:rsidR="001824AD" w:rsidRDefault="0069613F" w:rsidP="003C1BA8">
      <w:pPr>
        <w:pStyle w:val="Listeavsnitt"/>
        <w:numPr>
          <w:ilvl w:val="0"/>
          <w:numId w:val="18"/>
        </w:numPr>
      </w:pPr>
      <w:r>
        <w:t>Kostnadstallene vi har på bruk</w:t>
      </w:r>
      <w:r w:rsidR="000230D7">
        <w:t xml:space="preserve"> av skyteknologi </w:t>
      </w:r>
      <w:r w:rsidR="00B8642B">
        <w:t>indikerer</w:t>
      </w:r>
      <w:r w:rsidR="000230D7">
        <w:t xml:space="preserve"> at </w:t>
      </w:r>
      <w:r w:rsidR="00B8642B">
        <w:t>sky</w:t>
      </w:r>
      <w:r w:rsidR="0020709D">
        <w:t xml:space="preserve">transformasjonen oppleves som utfordrende </w:t>
      </w:r>
      <w:r w:rsidR="00B8642B">
        <w:t>på tvers i sektoren</w:t>
      </w:r>
      <w:r w:rsidR="00CA02A9">
        <w:t>.</w:t>
      </w:r>
      <w:r w:rsidR="00377804">
        <w:t xml:space="preserve"> </w:t>
      </w:r>
      <w:r w:rsidR="00847CED">
        <w:t>S</w:t>
      </w:r>
      <w:r w:rsidR="00377804">
        <w:t xml:space="preserve">elv om vi ser noe vekst i </w:t>
      </w:r>
      <w:r w:rsidR="007B1815">
        <w:t>skyrelaterte kostnader</w:t>
      </w:r>
      <w:r w:rsidR="00847CED">
        <w:t xml:space="preserve"> har sektoren i liten grad har tatt i bruk skyteknologi for å transformere sine IKT-miljøer</w:t>
      </w:r>
      <w:r w:rsidR="00DE7FEB">
        <w:t>, og</w:t>
      </w:r>
      <w:r w:rsidR="0054584A">
        <w:t xml:space="preserve"> ingen aktører har tatt posisjon som fanebærer i sektoren</w:t>
      </w:r>
      <w:r w:rsidR="00B8642B">
        <w:t>.</w:t>
      </w:r>
      <w:r w:rsidR="00DE7FEB">
        <w:t xml:space="preserve"> Valg i bruk av skyteknologi må nødvendigvis ligge hos den enkelte aktør, både for å ivareta juridisk ansvar og for å sørge for at organisasjonsstrukturen understøtter skytransformasjonen. </w:t>
      </w:r>
      <w:r w:rsidR="007569FF">
        <w:t xml:space="preserve">Det bemerkes </w:t>
      </w:r>
      <w:r w:rsidR="00DE7FEB">
        <w:t>imidlertid</w:t>
      </w:r>
      <w:r w:rsidR="007569FF">
        <w:t xml:space="preserve"> at </w:t>
      </w:r>
      <w:r w:rsidR="000A15D2">
        <w:t xml:space="preserve">bruk av skyteknologi </w:t>
      </w:r>
      <w:r w:rsidR="00753092">
        <w:t>kan</w:t>
      </w:r>
      <w:r w:rsidR="005103C6">
        <w:t xml:space="preserve"> </w:t>
      </w:r>
      <w:r w:rsidR="000A15D2">
        <w:t>oppleves som utfordrende for premissgiverne i offentlig sektor</w:t>
      </w:r>
      <w:r w:rsidR="00707DE0">
        <w:t>, inklusive helsesektoren. Det eksisterer flere generelle veiledninger for offentlig sektor, men disse trekker</w:t>
      </w:r>
      <w:r w:rsidR="00BE3599">
        <w:t xml:space="preserve"> tidvis</w:t>
      </w:r>
      <w:r w:rsidR="00707DE0">
        <w:t xml:space="preserve"> i ulike retninger</w:t>
      </w:r>
      <w:r w:rsidR="00BE3599">
        <w:t xml:space="preserve"> og kan oppleves </w:t>
      </w:r>
      <w:r w:rsidR="00BF3759">
        <w:t>som</w:t>
      </w:r>
      <w:r w:rsidR="0073460C">
        <w:t xml:space="preserve"> kompliserende for aktørene.</w:t>
      </w:r>
    </w:p>
    <w:p w14:paraId="0168B305" w14:textId="1A272A96" w:rsidR="00DE7FEB" w:rsidRDefault="00254645" w:rsidP="003C1BA8">
      <w:pPr>
        <w:pStyle w:val="Listeavsnitt"/>
        <w:numPr>
          <w:ilvl w:val="0"/>
          <w:numId w:val="18"/>
        </w:numPr>
      </w:pPr>
      <w:r>
        <w:t xml:space="preserve">I parallell med den pågående </w:t>
      </w:r>
      <w:r w:rsidR="005733B1">
        <w:t>internasjonale utviklingen i skyteknologi ser vi</w:t>
      </w:r>
      <w:r w:rsidR="000E1908">
        <w:t xml:space="preserve"> at sektoren gjør nødvendige</w:t>
      </w:r>
      <w:r w:rsidR="00B0644F">
        <w:t xml:space="preserve"> investeringer i </w:t>
      </w:r>
      <w:r>
        <w:t xml:space="preserve">oppgradering og ekspansjon av tradisjonell infrastruktur for å tilrettelegge for fremtidige helsetjenester. </w:t>
      </w:r>
      <w:r w:rsidR="00B0644F">
        <w:t>I lys av dette er det viktig å peke på at</w:t>
      </w:r>
      <w:r w:rsidR="00BF20F1">
        <w:t xml:space="preserve"> bruk av </w:t>
      </w:r>
      <w:r w:rsidR="00B0644F">
        <w:t>sk</w:t>
      </w:r>
      <w:r w:rsidR="001E0FF4">
        <w:t xml:space="preserve">yteknologi </w:t>
      </w:r>
      <w:r w:rsidR="00BF20F1">
        <w:t>ikke er et binært spørsmål</w:t>
      </w:r>
      <w:r w:rsidR="00241AD0">
        <w:t xml:space="preserve">. Den viktigste diskusjonen dreier seg rundt </w:t>
      </w:r>
      <w:r>
        <w:t xml:space="preserve">hvilke områder </w:t>
      </w:r>
      <w:r w:rsidR="00CA2FF4">
        <w:t xml:space="preserve">det </w:t>
      </w:r>
      <w:r w:rsidR="00685329">
        <w:t xml:space="preserve">hensiktsmessig å ta bruk skyteknologi, basert på </w:t>
      </w:r>
      <w:r>
        <w:t xml:space="preserve">hvilke effektmål </w:t>
      </w:r>
      <w:r w:rsidR="00685329">
        <w:t>aktørene</w:t>
      </w:r>
      <w:r>
        <w:t xml:space="preserve"> ønsker å </w:t>
      </w:r>
      <w:r w:rsidR="00685329">
        <w:t>oppnå.</w:t>
      </w:r>
      <w:r>
        <w:t xml:space="preserve"> </w:t>
      </w:r>
    </w:p>
    <w:p w14:paraId="7977FD2C" w14:textId="77777777" w:rsidR="00C71E52" w:rsidRDefault="00C71E52"/>
    <w:p w14:paraId="167251BD" w14:textId="141EA9DA" w:rsidR="006315E8" w:rsidRDefault="00B909EF">
      <w:r>
        <w:t xml:space="preserve">Med grunnlag i vår data </w:t>
      </w:r>
      <w:r w:rsidR="00300579">
        <w:t xml:space="preserve">og </w:t>
      </w:r>
      <w:r w:rsidR="00435E72">
        <w:t xml:space="preserve">momentene over </w:t>
      </w:r>
      <w:r>
        <w:t xml:space="preserve">er det </w:t>
      </w:r>
      <w:r w:rsidR="00A94363">
        <w:t>to</w:t>
      </w:r>
      <w:r w:rsidR="00C71E52">
        <w:t xml:space="preserve"> diskusjonspunkter </w:t>
      </w:r>
      <w:r w:rsidR="00867C88">
        <w:t>som kan være viktig for sektoren i perioden fremover:</w:t>
      </w:r>
    </w:p>
    <w:p w14:paraId="61D6DC24" w14:textId="1353D1EE" w:rsidR="005F47AF" w:rsidRDefault="00C71E52">
      <w:pPr>
        <w:jc w:val="center"/>
        <w:rPr>
          <w:i/>
          <w:iCs/>
        </w:rPr>
      </w:pPr>
      <w:r>
        <w:rPr>
          <w:i/>
          <w:iCs/>
        </w:rPr>
        <w:t>«I</w:t>
      </w:r>
      <w:r w:rsidR="005F47AF">
        <w:rPr>
          <w:i/>
          <w:iCs/>
        </w:rPr>
        <w:t>nnenfor hvilke områder er det relevant å bruke</w:t>
      </w:r>
      <w:r>
        <w:rPr>
          <w:i/>
          <w:iCs/>
        </w:rPr>
        <w:t xml:space="preserve"> skyteknologi</w:t>
      </w:r>
      <w:r w:rsidR="00C5101F">
        <w:rPr>
          <w:i/>
          <w:iCs/>
        </w:rPr>
        <w:t xml:space="preserve"> i helsesektoren</w:t>
      </w:r>
      <w:r>
        <w:rPr>
          <w:i/>
          <w:iCs/>
        </w:rPr>
        <w:t>?»</w:t>
      </w:r>
    </w:p>
    <w:p w14:paraId="644F977F" w14:textId="32B57F93" w:rsidR="000F4E2F" w:rsidRPr="00557966" w:rsidRDefault="000F4E2F" w:rsidP="00557966">
      <w:pPr>
        <w:jc w:val="center"/>
        <w:rPr>
          <w:i/>
          <w:iCs/>
        </w:rPr>
      </w:pPr>
      <w:r w:rsidRPr="00557966">
        <w:rPr>
          <w:i/>
          <w:iCs/>
        </w:rPr>
        <w:t xml:space="preserve">«Hva kan gjøres for å </w:t>
      </w:r>
      <w:r w:rsidR="00072356">
        <w:rPr>
          <w:i/>
          <w:iCs/>
        </w:rPr>
        <w:t>legge til rette for</w:t>
      </w:r>
      <w:r w:rsidRPr="00557966">
        <w:rPr>
          <w:i/>
          <w:iCs/>
        </w:rPr>
        <w:t xml:space="preserve"> </w:t>
      </w:r>
      <w:r w:rsidR="004F409D" w:rsidRPr="00557966">
        <w:rPr>
          <w:i/>
          <w:iCs/>
        </w:rPr>
        <w:t>aktørenes</w:t>
      </w:r>
      <w:r w:rsidRPr="00557966">
        <w:rPr>
          <w:i/>
          <w:iCs/>
        </w:rPr>
        <w:t xml:space="preserve"> vurderinger og valg i bruk av skyteknologi</w:t>
      </w:r>
      <w:r w:rsidR="004F409D" w:rsidRPr="00557966">
        <w:rPr>
          <w:i/>
          <w:iCs/>
        </w:rPr>
        <w:t>?»</w:t>
      </w:r>
    </w:p>
    <w:p w14:paraId="48A61731" w14:textId="2C1E48C4" w:rsidR="00555629" w:rsidRDefault="00555629">
      <w:pPr>
        <w:tabs>
          <w:tab w:val="clear" w:pos="357"/>
        </w:tabs>
        <w:spacing w:after="0" w:line="240" w:lineRule="auto"/>
      </w:pPr>
      <w:r>
        <w:br w:type="page"/>
      </w:r>
    </w:p>
    <w:p w14:paraId="62281CD3" w14:textId="0B3E7F92" w:rsidR="00F63E72" w:rsidRDefault="005931F8" w:rsidP="00FA3715">
      <w:pPr>
        <w:pStyle w:val="Overskrift2"/>
      </w:pPr>
      <w:bookmarkStart w:id="129" w:name="_Toc121353905"/>
      <w:bookmarkStart w:id="130" w:name="_Toc146784548"/>
      <w:bookmarkEnd w:id="129"/>
      <w:r>
        <w:lastRenderedPageBreak/>
        <w:t xml:space="preserve">Hvordan </w:t>
      </w:r>
      <w:r w:rsidR="00100B9A">
        <w:t>løser sektoren sitt behov for kapasitet og kompetanse på applikasjonsområdet?</w:t>
      </w:r>
      <w:bookmarkEnd w:id="130"/>
    </w:p>
    <w:p w14:paraId="6893B4E5" w14:textId="77777777" w:rsidR="00677331" w:rsidRDefault="00677331" w:rsidP="00677331"/>
    <w:p w14:paraId="779BCBFE" w14:textId="77777777" w:rsidR="00B9787C" w:rsidRPr="007C1995" w:rsidRDefault="00B9787C" w:rsidP="00B9787C">
      <w:pPr>
        <w:rPr>
          <w:b/>
          <w:bCs/>
        </w:rPr>
      </w:pPr>
      <w:r w:rsidRPr="007C1995">
        <w:rPr>
          <w:b/>
          <w:bCs/>
        </w:rPr>
        <w:t>Nøkkelfunn</w:t>
      </w:r>
    </w:p>
    <w:p w14:paraId="02C25969" w14:textId="77777777"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Sammenliknet med internasjonale tall hadde sektoren en relativt </w:t>
      </w:r>
      <w:r w:rsidRPr="00557966">
        <w:t xml:space="preserve">høyere innsats </w:t>
      </w:r>
      <w:r w:rsidRPr="00EC6698">
        <w:t xml:space="preserve">knyttet til </w:t>
      </w:r>
      <w:r w:rsidRPr="00557966">
        <w:t>applikasjonsutvikling</w:t>
      </w:r>
      <w:r w:rsidRPr="00EC6698">
        <w:t xml:space="preserve"> og </w:t>
      </w:r>
      <w:r w:rsidRPr="00557966">
        <w:t>applikasjonsforvaltning</w:t>
      </w:r>
      <w:r w:rsidRPr="00EC6698">
        <w:t>.</w:t>
      </w:r>
    </w:p>
    <w:p w14:paraId="74ECB808" w14:textId="012E3FA1"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Sektoren har </w:t>
      </w:r>
      <w:r w:rsidR="0077487C">
        <w:t xml:space="preserve">sammenliknet med internasjonale nøkkeltall </w:t>
      </w:r>
      <w:r w:rsidRPr="00557966">
        <w:t xml:space="preserve">lite kjøp av tjenesteutsetting </w:t>
      </w:r>
      <w:r w:rsidRPr="00EC6698">
        <w:t>og</w:t>
      </w:r>
      <w:r w:rsidRPr="00557966">
        <w:t xml:space="preserve"> høye personellkostnader</w:t>
      </w:r>
    </w:p>
    <w:p w14:paraId="385CEF2A" w14:textId="77777777"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Sektoren har valgt å løse deler av sitt kompetansebehov knyttet til både applikasjonsutvikling og applikasjonsforvaltning gjennom </w:t>
      </w:r>
      <w:r w:rsidRPr="00557966">
        <w:t>kjøp av eksterne konsulenter</w:t>
      </w:r>
      <w:r w:rsidRPr="00EC6698">
        <w:t>.</w:t>
      </w:r>
    </w:p>
    <w:p w14:paraId="36A6206A" w14:textId="77777777" w:rsidR="00B9787C" w:rsidRPr="007C1995" w:rsidRDefault="00B9787C" w:rsidP="00B9787C"/>
    <w:p w14:paraId="67CF9719" w14:textId="77777777" w:rsidR="00EB39D2" w:rsidRPr="007C1995" w:rsidRDefault="00EB39D2" w:rsidP="00EB39D2">
      <w:pPr>
        <w:rPr>
          <w:b/>
          <w:bCs/>
        </w:rPr>
      </w:pPr>
      <w:r>
        <w:rPr>
          <w:b/>
          <w:bCs/>
        </w:rPr>
        <w:t>Underbyggende a</w:t>
      </w:r>
      <w:r w:rsidRPr="007C1995">
        <w:rPr>
          <w:b/>
          <w:bCs/>
        </w:rPr>
        <w:t>nalyse</w:t>
      </w:r>
    </w:p>
    <w:p w14:paraId="3C3D3D1D" w14:textId="50FFB452" w:rsidR="00697983" w:rsidRDefault="00FA7458" w:rsidP="00697983">
      <w:r>
        <w:t xml:space="preserve">Helse- og omsorgssektoren har historisk hatt en utfordring med et </w:t>
      </w:r>
      <w:r w:rsidR="00D36892">
        <w:t>stort</w:t>
      </w:r>
      <w:r>
        <w:t xml:space="preserve"> antall applikasjoner, og der flere aktører de siste 10-15 årene har hatt en strategi for å standardisere og konsolidere sine applikasjonsporteføljer</w:t>
      </w:r>
      <w:r>
        <w:rPr>
          <w:rStyle w:val="Fotnotereferanse"/>
        </w:rPr>
        <w:footnoteReference w:id="7"/>
      </w:r>
      <w:r>
        <w:t xml:space="preserve">. </w:t>
      </w:r>
      <w:r w:rsidR="00D861E2" w:rsidRPr="001569BD">
        <w:t>Når vi ser på de totale kostnader fordelt pr funksjonsområde</w:t>
      </w:r>
      <w:r w:rsidR="006559B9">
        <w:t>,</w:t>
      </w:r>
      <w:r w:rsidR="00D861E2" w:rsidRPr="001569BD">
        <w:t xml:space="preserve"> ser vi at sektoren har stor aktivitet knyttet til applikasjonsutvikling og applikasjonsforvaltning, som utgjorde henholdsvis 2</w:t>
      </w:r>
      <w:r w:rsidR="00ED7CE8">
        <w:t>7</w:t>
      </w:r>
      <w:r w:rsidR="00D861E2" w:rsidRPr="001569BD">
        <w:t xml:space="preserve">% og 27% av de totale kostnadene. </w:t>
      </w:r>
    </w:p>
    <w:p w14:paraId="7374BB55" w14:textId="77777777" w:rsidR="00172544" w:rsidRDefault="2DB6CEAC" w:rsidP="00172544">
      <w:pPr>
        <w:keepNext/>
      </w:pPr>
      <w:r>
        <w:rPr>
          <w:noProof/>
        </w:rPr>
        <w:drawing>
          <wp:inline distT="0" distB="0" distL="0" distR="0" wp14:anchorId="6BF37CEF" wp14:editId="30DD579E">
            <wp:extent cx="5759449" cy="1728043"/>
            <wp:effectExtent l="0" t="0" r="0" b="5715"/>
            <wp:docPr id="202" name="Picture 202" descr="Liggende søylediagram som viser fordelingen av kostandene per IKT funksjonsområder. Diagrammet inneholder tall for 2021, 2021 tall normalisert i forhold til applikasjonsutvikling og snittall fra Gartner EM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iggende søylediagram som viser fordelingen av kostandene per IKT funksjonsområder. Diagrammet inneholder tall for 2021, 2021 tall normalisert i forhold til applikasjonsutvikling og snittall fra Gartner EMEA. "/>
                    <pic:cNvPicPr/>
                  </pic:nvPicPr>
                  <pic:blipFill>
                    <a:blip r:embed="rId29">
                      <a:extLst>
                        <a:ext uri="{96DAC541-7B7A-43D3-8B79-37D633B846F1}">
                          <asvg:svgBlip xmlns:asvg="http://schemas.microsoft.com/office/drawing/2016/SVG/main" r:embed="rId30"/>
                        </a:ext>
                      </a:extLst>
                    </a:blip>
                    <a:stretch>
                      <a:fillRect/>
                    </a:stretch>
                  </pic:blipFill>
                  <pic:spPr>
                    <a:xfrm>
                      <a:off x="0" y="0"/>
                      <a:ext cx="5759449" cy="1728043"/>
                    </a:xfrm>
                    <a:prstGeom prst="rect">
                      <a:avLst/>
                    </a:prstGeom>
                  </pic:spPr>
                </pic:pic>
              </a:graphicData>
            </a:graphic>
          </wp:inline>
        </w:drawing>
      </w:r>
    </w:p>
    <w:p w14:paraId="40E26D70" w14:textId="04072F14" w:rsidR="00C176AD" w:rsidRDefault="00172544"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14</w:t>
      </w:r>
      <w:r w:rsidR="00DC6F8E">
        <w:rPr>
          <w:noProof/>
        </w:rPr>
        <w:fldChar w:fldCharType="end"/>
      </w:r>
      <w:r>
        <w:t>:</w:t>
      </w:r>
      <w:r w:rsidRPr="00172544">
        <w:t xml:space="preserve"> </w:t>
      </w:r>
      <w:r>
        <w:t xml:space="preserve">Fordeling av kostander per </w:t>
      </w:r>
      <w:r>
        <w:rPr>
          <w:noProof/>
        </w:rPr>
        <w:t>IKT-funksjonsområder i helseregionene og helseregionene. Figuren inkluderer tall for 2021, 2021-tall normalisert for applikasjonsutvikling og gjennomsnittstall fra EMEA 2021</w:t>
      </w:r>
    </w:p>
    <w:p w14:paraId="043E68E7" w14:textId="77777777" w:rsidR="000232E0" w:rsidRPr="00456CF7" w:rsidRDefault="000D3FD6" w:rsidP="000232E0">
      <w:pPr>
        <w:rPr>
          <w:strike/>
        </w:rPr>
      </w:pPr>
      <w:r w:rsidRPr="001569BD">
        <w:t>Kostandene knyttet til applikasjonsutvikling er høye sammenliknet med det internasjonale gjennomsnittet fra helsetilbydere i EMEA, der applikasjonsutvikling utgjør 12% av de totale kostnadene.</w:t>
      </w:r>
      <w:r>
        <w:t xml:space="preserve"> </w:t>
      </w:r>
      <w:r w:rsidR="00BA4A87">
        <w:t xml:space="preserve">En </w:t>
      </w:r>
      <w:r w:rsidR="002B1E2A">
        <w:t>del av dette gapet er trolig knyttet til de</w:t>
      </w:r>
      <w:r w:rsidR="007A5D4E">
        <w:t>n pågående innsatsen med</w:t>
      </w:r>
      <w:r w:rsidR="002B1E2A">
        <w:t xml:space="preserve"> å modernisere sektor </w:t>
      </w:r>
      <w:r w:rsidR="007A5D4E">
        <w:t>og tilrettelegge for moderne helsetjenester</w:t>
      </w:r>
      <w:r w:rsidR="00A43648">
        <w:t xml:space="preserve"> som trekkes frem i analysen over. </w:t>
      </w:r>
      <w:r w:rsidR="000232E0" w:rsidRPr="001569BD">
        <w:t xml:space="preserve">Dersom vi </w:t>
      </w:r>
      <w:r w:rsidR="000232E0">
        <w:t>normaliserer kostnadene knyttet til applikasjonsutvikling til det internasjonale gjennomsnittet</w:t>
      </w:r>
      <w:r w:rsidR="000232E0" w:rsidRPr="001569BD">
        <w:t xml:space="preserve"> ser vi at sektoren også er litt høyere enn det internasjonale snittet på applikasjonsforvaltning og IT styring og tjenesteledelse, men at vi nasjonalt ligger under gjennomsnittet på kostnader knyttet til tele- og datanettverk og datasenter.</w:t>
      </w:r>
      <w:r w:rsidR="000232E0">
        <w:t xml:space="preserve"> Dette er en positiv </w:t>
      </w:r>
      <w:r w:rsidR="000232E0">
        <w:lastRenderedPageBreak/>
        <w:t>utvikling kan sees i sammenheng med den økende sentraliseringen av IKT-kostnader i sektoren.</w:t>
      </w:r>
      <w:r w:rsidR="000232E0">
        <w:rPr>
          <w:rStyle w:val="Fotnotereferanse"/>
        </w:rPr>
        <w:footnoteReference w:id="8"/>
      </w:r>
    </w:p>
    <w:p w14:paraId="34D7886D" w14:textId="4918D093" w:rsidR="00A52FFF" w:rsidRDefault="000232E0" w:rsidP="00A52FFF">
      <w:r>
        <w:t>Vi har i vårt datagrunnlag lite innsikt i virksomhetenes applikasjonsporteføljer, kjøp og tilpasning av hyllevareapplikasjoner og utvikling av spesialtilpassede applikasjoner.</w:t>
      </w:r>
      <w:r w:rsidR="00FA15B6">
        <w:t xml:space="preserve"> Dette gjør at vi ikke </w:t>
      </w:r>
      <w:r w:rsidR="008C7764">
        <w:t xml:space="preserve">tydelig </w:t>
      </w:r>
      <w:r w:rsidR="000E0921">
        <w:t xml:space="preserve">kan </w:t>
      </w:r>
      <w:r w:rsidR="008C7764">
        <w:t>identifisere</w:t>
      </w:r>
      <w:r w:rsidR="00641D20">
        <w:t xml:space="preserve"> de bakenforliggende </w:t>
      </w:r>
      <w:r w:rsidR="008C7764">
        <w:t>årsakene</w:t>
      </w:r>
      <w:r w:rsidR="00641D20">
        <w:t xml:space="preserve"> til kostnadsnivået</w:t>
      </w:r>
      <w:r w:rsidR="000D3FD6">
        <w:t xml:space="preserve">, mulige faktorer som </w:t>
      </w:r>
      <w:r w:rsidR="00A52FFF">
        <w:t>er egnet til å påvirke d</w:t>
      </w:r>
      <w:r w:rsidR="00D8077D">
        <w:t>enne</w:t>
      </w:r>
      <w:r w:rsidR="00A52FFF">
        <w:t xml:space="preserve"> er:</w:t>
      </w:r>
    </w:p>
    <w:p w14:paraId="1474E67A" w14:textId="64526629" w:rsidR="000D3FD6" w:rsidRDefault="00247A56" w:rsidP="003C1BA8">
      <w:pPr>
        <w:pStyle w:val="Listeavsnitt"/>
        <w:numPr>
          <w:ilvl w:val="0"/>
          <w:numId w:val="33"/>
        </w:numPr>
      </w:pPr>
      <w:r>
        <w:t>U</w:t>
      </w:r>
      <w:r w:rsidR="000D3FD6">
        <w:t xml:space="preserve">tvikling og </w:t>
      </w:r>
      <w:r w:rsidR="00A52FFF">
        <w:t>tilpasning</w:t>
      </w:r>
      <w:r w:rsidR="000D3FD6">
        <w:t xml:space="preserve"> av store, komplekse applikasjoner og pla</w:t>
      </w:r>
      <w:r w:rsidR="00A52FFF">
        <w:t>t</w:t>
      </w:r>
      <w:r w:rsidR="000D3FD6">
        <w:t>tformer</w:t>
      </w:r>
      <w:r w:rsidR="00E10454">
        <w:t xml:space="preserve"> for å </w:t>
      </w:r>
      <w:r w:rsidR="00A776D3">
        <w:t>tilrettelegge for fremtidige, moderne helsetjenester</w:t>
      </w:r>
    </w:p>
    <w:p w14:paraId="2FA9807D" w14:textId="2523B658" w:rsidR="00301579" w:rsidRDefault="00A52FFF" w:rsidP="003C1BA8">
      <w:pPr>
        <w:pStyle w:val="Listeavsnitt"/>
        <w:numPr>
          <w:ilvl w:val="0"/>
          <w:numId w:val="31"/>
        </w:numPr>
      </w:pPr>
      <w:r>
        <w:t>Tilpasning</w:t>
      </w:r>
      <w:r w:rsidR="00FA25E0">
        <w:t xml:space="preserve"> av hyllevareapplikasjoner </w:t>
      </w:r>
      <w:r w:rsidR="00D220F1">
        <w:t xml:space="preserve">og eksisterende fagapplikasjonene </w:t>
      </w:r>
      <w:r w:rsidR="00FA25E0">
        <w:t>for å kunne samhandle m</w:t>
      </w:r>
      <w:r w:rsidR="0068199A">
        <w:t xml:space="preserve">ed et </w:t>
      </w:r>
      <w:r>
        <w:t>komplekst</w:t>
      </w:r>
      <w:r w:rsidR="0068199A">
        <w:t xml:space="preserve"> </w:t>
      </w:r>
      <w:r>
        <w:t>IKT-</w:t>
      </w:r>
      <w:r w:rsidR="0068199A">
        <w:t xml:space="preserve">økosystem </w:t>
      </w:r>
    </w:p>
    <w:p w14:paraId="63BA9196" w14:textId="53E4CBA3" w:rsidR="000D3FD6" w:rsidRDefault="00A52FFF" w:rsidP="003C1BA8">
      <w:pPr>
        <w:pStyle w:val="Listeavsnitt"/>
        <w:numPr>
          <w:ilvl w:val="0"/>
          <w:numId w:val="31"/>
        </w:numPr>
      </w:pPr>
      <w:r>
        <w:t xml:space="preserve">Tilpasning </w:t>
      </w:r>
      <w:r w:rsidR="000D3FD6">
        <w:t xml:space="preserve">av </w:t>
      </w:r>
      <w:r>
        <w:t xml:space="preserve">hyllevareapplikasjoner </w:t>
      </w:r>
      <w:r w:rsidR="000D3FD6">
        <w:t>for å kunne passe til flere ulike driftsmiljø</w:t>
      </w:r>
      <w:r w:rsidR="00854032">
        <w:t xml:space="preserve"> og </w:t>
      </w:r>
      <w:r>
        <w:t>IKT-</w:t>
      </w:r>
      <w:r w:rsidR="00854032">
        <w:t>økosystemer</w:t>
      </w:r>
    </w:p>
    <w:p w14:paraId="49B6B631" w14:textId="47F48828" w:rsidR="00456CF7" w:rsidRDefault="00456CF7" w:rsidP="00456CF7"/>
    <w:p w14:paraId="01278691" w14:textId="254AF339" w:rsidR="000D3FD6" w:rsidRDefault="000E0921" w:rsidP="00697983">
      <w:r>
        <w:t xml:space="preserve">Datagrunnlaget denne rapporten er bygget på </w:t>
      </w:r>
      <w:r w:rsidR="0006378E">
        <w:t>lar oss imidlertid bryte ned IKT-kostnadene til</w:t>
      </w:r>
      <w:r w:rsidR="00DB0C09">
        <w:t xml:space="preserve"> kostnadsområder som </w:t>
      </w:r>
      <w:r w:rsidR="001D1DA6">
        <w:t>internproduksjon, bruk av</w:t>
      </w:r>
      <w:r w:rsidR="00EF47D8">
        <w:t xml:space="preserve"> </w:t>
      </w:r>
      <w:r w:rsidR="003A7329">
        <w:t>eksterne konsulenter</w:t>
      </w:r>
      <w:r w:rsidR="00BC32D5">
        <w:t xml:space="preserve"> </w:t>
      </w:r>
      <w:r w:rsidR="001D1DA6">
        <w:t>og tjenesteutsetting</w:t>
      </w:r>
      <w:r w:rsidR="00DB0C09">
        <w:t>. Gjennom å g</w:t>
      </w:r>
      <w:r w:rsidR="001D1DA6">
        <w:t>ranulere dette ned på applikasjonsområdet</w:t>
      </w:r>
      <w:r w:rsidR="0003557B">
        <w:t xml:space="preserve"> </w:t>
      </w:r>
      <w:r w:rsidR="00DB0C09">
        <w:t xml:space="preserve">kan vi </w:t>
      </w:r>
      <w:r w:rsidR="009A2830">
        <w:t>få et bedre bilde av hvordan sektoren har</w:t>
      </w:r>
      <w:r w:rsidR="005806EF">
        <w:t xml:space="preserve"> organisert seg på dette området</w:t>
      </w:r>
      <w:r w:rsidR="001D1DA6">
        <w:t>.</w:t>
      </w:r>
    </w:p>
    <w:p w14:paraId="5AA9F2B2" w14:textId="52F46512" w:rsidR="000D1B8D" w:rsidRDefault="006B5365" w:rsidP="00697983">
      <w:r>
        <w:rPr>
          <w:noProof/>
        </w:rPr>
        <mc:AlternateContent>
          <mc:Choice Requires="wps">
            <w:drawing>
              <wp:anchor distT="0" distB="0" distL="114300" distR="114300" simplePos="0" relativeHeight="251668490" behindDoc="0" locked="0" layoutInCell="1" allowOverlap="1" wp14:anchorId="5A794527" wp14:editId="18FAA1C2">
                <wp:simplePos x="0" y="0"/>
                <wp:positionH relativeFrom="column">
                  <wp:posOffset>2287905</wp:posOffset>
                </wp:positionH>
                <wp:positionV relativeFrom="paragraph">
                  <wp:posOffset>2560955</wp:posOffset>
                </wp:positionV>
                <wp:extent cx="3471545" cy="63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3471545" cy="635"/>
                        </a:xfrm>
                        <a:prstGeom prst="rect">
                          <a:avLst/>
                        </a:prstGeom>
                        <a:solidFill>
                          <a:prstClr val="white"/>
                        </a:solidFill>
                        <a:ln>
                          <a:noFill/>
                        </a:ln>
                      </wps:spPr>
                      <wps:txbx>
                        <w:txbxContent>
                          <w:p w14:paraId="01B911EF" w14:textId="6957B82E" w:rsidR="006B5365" w:rsidRPr="00EA318A" w:rsidRDefault="006B5365" w:rsidP="00CD3270">
                            <w:pPr>
                              <w:pStyle w:val="Bildetekst"/>
                              <w:rPr>
                                <w:noProof/>
                              </w:rPr>
                            </w:pPr>
                            <w:r>
                              <w:t xml:space="preserve">Figur 17: </w:t>
                            </w:r>
                            <w:r w:rsidRPr="00D6433B">
                              <w:t>Fordeling av kostnader for IKT-tjenesteutsetting pr IKT-funksjonsområde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94527" id="Tekstboks 12" o:spid="_x0000_s1030" type="#_x0000_t202" style="position:absolute;margin-left:180.15pt;margin-top:201.65pt;width:273.35pt;height:.05pt;z-index:2516684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" stroked="f">
                <v:textbox style="mso-fit-shape-to-text:t" inset="0,0,0,0">
                  <w:txbxContent>
                    <w:p w14:paraId="01B911EF" w14:textId="6957B82E" w:rsidR="006B5365" w:rsidRPr="00EA318A" w:rsidRDefault="006B5365" w:rsidP="00CD3270">
                      <w:pPr>
                        <w:pStyle w:val="Bildetekst"/>
                        <w:rPr>
                          <w:noProof/>
                        </w:rPr>
                      </w:pPr>
                      <w:r>
                        <w:t xml:space="preserve">Figur 17: </w:t>
                      </w:r>
                      <w:r w:rsidRPr="00D6433B">
                        <w:t>Fordeling av kostnader for IKT-tjenesteutsetting pr IKT-funksjonsområde</w:t>
                      </w:r>
                    </w:p>
                  </w:txbxContent>
                </v:textbox>
                <w10:wrap type="square"/>
              </v:shape>
            </w:pict>
          </mc:Fallback>
        </mc:AlternateContent>
      </w:r>
      <w:r w:rsidR="00885397">
        <w:rPr>
          <w:noProof/>
        </w:rPr>
        <w:drawing>
          <wp:anchor distT="0" distB="0" distL="114300" distR="114300" simplePos="0" relativeHeight="251658247" behindDoc="0" locked="0" layoutInCell="1" allowOverlap="1" wp14:anchorId="3AF5455C" wp14:editId="04352942">
            <wp:simplePos x="0" y="0"/>
            <wp:positionH relativeFrom="margin">
              <wp:align>right</wp:align>
            </wp:positionH>
            <wp:positionV relativeFrom="paragraph">
              <wp:posOffset>6985</wp:posOffset>
            </wp:positionV>
            <wp:extent cx="3471545" cy="2496820"/>
            <wp:effectExtent l="0" t="0" r="0" b="0"/>
            <wp:wrapSquare wrapText="bothSides"/>
            <wp:docPr id="211" name="Bilde 199" descr="Søylediagram som viser fordelingen av kostander for IKT tjenesteutsetting per IKT funksjonsområde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ilde 199" descr="Søylediagram som viser fordelingen av kostander for IKT tjenesteutsetting per IKT funksjonsområde for 2021. "/>
                    <pic:cNvPicPr/>
                  </pic:nvPicPr>
                  <pic:blipFill>
                    <a:blip r:embed="rId31">
                      <a:extLst>
                        <a:ext uri="{28A0092B-C50C-407E-A947-70E740481C1C}">
                          <a14:useLocalDpi xmlns:a14="http://schemas.microsoft.com/office/drawing/2010/main" val="0"/>
                        </a:ext>
                      </a:extLst>
                    </a:blip>
                    <a:stretch>
                      <a:fillRect/>
                    </a:stretch>
                  </pic:blipFill>
                  <pic:spPr>
                    <a:xfrm>
                      <a:off x="0" y="0"/>
                      <a:ext cx="3471545" cy="2496820"/>
                    </a:xfrm>
                    <a:prstGeom prst="rect">
                      <a:avLst/>
                    </a:prstGeom>
                  </pic:spPr>
                </pic:pic>
              </a:graphicData>
            </a:graphic>
            <wp14:sizeRelH relativeFrom="margin">
              <wp14:pctWidth>0</wp14:pctWidth>
            </wp14:sizeRelH>
            <wp14:sizeRelV relativeFrom="margin">
              <wp14:pctHeight>0</wp14:pctHeight>
            </wp14:sizeRelV>
          </wp:anchor>
        </w:drawing>
      </w:r>
      <w:r w:rsidR="000D1B8D">
        <w:t xml:space="preserve">Når vi ser på tallene for 2021 ser vi at </w:t>
      </w:r>
      <w:r w:rsidR="00532F12">
        <w:t>8,4</w:t>
      </w:r>
      <w:r w:rsidR="00B700EE">
        <w:t xml:space="preserve">% </w:t>
      </w:r>
      <w:r w:rsidR="00E530F5">
        <w:t xml:space="preserve">og </w:t>
      </w:r>
      <w:r w:rsidR="006F1BAA">
        <w:t>3</w:t>
      </w:r>
      <w:r w:rsidR="00E530F5">
        <w:t xml:space="preserve">% </w:t>
      </w:r>
      <w:r w:rsidR="00B700EE">
        <w:t xml:space="preserve">av kostnadene </w:t>
      </w:r>
      <w:r w:rsidR="00E530F5">
        <w:t xml:space="preserve">knyttet til henholdsvis applikasjonsutvikling og applikasjonsforvaltning er knyttet til </w:t>
      </w:r>
      <w:r w:rsidR="00997DA0">
        <w:t xml:space="preserve">tjenesteutsettelse. </w:t>
      </w:r>
      <w:r w:rsidR="00A55F83">
        <w:t>Dette</w:t>
      </w:r>
      <w:r w:rsidR="00EA08EB">
        <w:t xml:space="preserve">, sammen med </w:t>
      </w:r>
      <w:r w:rsidR="0078313E">
        <w:t xml:space="preserve">IKT-personellkostnader som over tid har utgjort rundt 60% av de totale kostnadene, mot et internasjonalt snitt på 33%, </w:t>
      </w:r>
      <w:r w:rsidR="00A55F83">
        <w:t xml:space="preserve">tyder på at sektoren i stor grad </w:t>
      </w:r>
      <w:r w:rsidR="006C624D">
        <w:t xml:space="preserve">gjennomfører denne </w:t>
      </w:r>
      <w:r w:rsidR="00083BD1">
        <w:t xml:space="preserve">aktiviteten </w:t>
      </w:r>
      <w:r w:rsidR="0086537F">
        <w:t>under intern administrativ styring.</w:t>
      </w:r>
      <w:r w:rsidR="00A20D03">
        <w:t xml:space="preserve"> </w:t>
      </w:r>
    </w:p>
    <w:p w14:paraId="25215DA6" w14:textId="77777777" w:rsidR="006B5365" w:rsidRDefault="0078313E" w:rsidP="006B5365">
      <w:pPr>
        <w:keepNext/>
      </w:pPr>
      <w:r>
        <w:rPr>
          <w:noProof/>
        </w:rPr>
        <w:lastRenderedPageBreak/>
        <w:drawing>
          <wp:inline distT="0" distB="0" distL="0" distR="0" wp14:anchorId="7DA9A74A" wp14:editId="04D38BD7">
            <wp:extent cx="5543372" cy="2576223"/>
            <wp:effectExtent l="0" t="0" r="635" b="9525"/>
            <wp:docPr id="204" name="Picture 204" descr="Søylediagram som viser utviklingene i totale IKT personellkostnader fordelt mellom interne og eksterne årsverk fra 2018 til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øylediagram som viser utviklingene i totale IKT personellkostnader fordelt mellom interne og eksterne årsverk fra 2018 til 2021. "/>
                    <pic:cNvPicPr/>
                  </pic:nvPicPr>
                  <pic:blipFill>
                    <a:blip r:embed="rId32">
                      <a:extLst>
                        <a:ext uri="{28A0092B-C50C-407E-A947-70E740481C1C}">
                          <a14:useLocalDpi xmlns:a14="http://schemas.microsoft.com/office/drawing/2010/main" val="0"/>
                        </a:ext>
                      </a:extLst>
                    </a:blip>
                    <a:stretch>
                      <a:fillRect/>
                    </a:stretch>
                  </pic:blipFill>
                  <pic:spPr>
                    <a:xfrm>
                      <a:off x="0" y="0"/>
                      <a:ext cx="5543372" cy="2576223"/>
                    </a:xfrm>
                    <a:prstGeom prst="rect">
                      <a:avLst/>
                    </a:prstGeom>
                  </pic:spPr>
                </pic:pic>
              </a:graphicData>
            </a:graphic>
          </wp:inline>
        </w:drawing>
      </w:r>
    </w:p>
    <w:p w14:paraId="4BFF0E4C" w14:textId="66FFA8AD" w:rsidR="002F2C83" w:rsidRDefault="006B5365"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15</w:t>
      </w:r>
      <w:r w:rsidR="00DC6F8E">
        <w:rPr>
          <w:noProof/>
        </w:rPr>
        <w:fldChar w:fldCharType="end"/>
      </w:r>
      <w:r>
        <w:t xml:space="preserve">: </w:t>
      </w:r>
      <w:r w:rsidRPr="004D09F7">
        <w:t>Utvikling i totale IKT-</w:t>
      </w:r>
      <w:r w:rsidR="001A5135" w:rsidRPr="004D09F7">
        <w:t>personellkostnader</w:t>
      </w:r>
      <w:r w:rsidRPr="004D09F7">
        <w:t xml:space="preserve"> fordelt mellom interne og eksterne årsverk</w:t>
      </w:r>
    </w:p>
    <w:p w14:paraId="12D44451" w14:textId="4A1230CF" w:rsidR="002F2C83" w:rsidRDefault="002F2C83" w:rsidP="00CD3270">
      <w:pPr>
        <w:pStyle w:val="Bildetekst"/>
      </w:pPr>
    </w:p>
    <w:p w14:paraId="56E431E5" w14:textId="03A7DC17" w:rsidR="004036D7" w:rsidRDefault="0078313E" w:rsidP="006E5AA5">
      <w:r>
        <w:t xml:space="preserve">Samtidig som </w:t>
      </w:r>
      <w:r w:rsidR="001963B8">
        <w:t xml:space="preserve">det har vært en vekst i IKT-personellkostnader har også sektoren </w:t>
      </w:r>
      <w:r w:rsidR="00134FE3">
        <w:t>hatt en vekst i bruk av eksterne årsverk,</w:t>
      </w:r>
      <w:r w:rsidR="006E5AA5">
        <w:t xml:space="preserve"> og i 2021 kom 19,2</w:t>
      </w:r>
      <w:r w:rsidR="006E5AA5" w:rsidRPr="00095DFD">
        <w:t xml:space="preserve">% av kjøpet av IKT-konsulenttjenester </w:t>
      </w:r>
      <w:r w:rsidR="006E5AA5">
        <w:t>i statsregnskapet fra helsesektoren</w:t>
      </w:r>
      <w:r w:rsidR="006E5AA5">
        <w:rPr>
          <w:rStyle w:val="Fotnotereferanse"/>
        </w:rPr>
        <w:footnoteReference w:id="9"/>
      </w:r>
      <w:r w:rsidR="006E5AA5" w:rsidRPr="00095DFD">
        <w:t>.</w:t>
      </w:r>
      <w:r w:rsidR="006E5AA5" w:rsidRPr="007871DC">
        <w:t xml:space="preserve"> </w:t>
      </w:r>
    </w:p>
    <w:p w14:paraId="1C5B81E8" w14:textId="59972EE0" w:rsidR="00426375" w:rsidRDefault="00426375" w:rsidP="00426375">
      <w:r>
        <w:t xml:space="preserve">Applikasjonsutvikling utgjorde 28% av de totale IKT-kostnadene, og sto for 32% av de totale IKT-personellkostnadene i sektoren. </w:t>
      </w:r>
      <w:r w:rsidR="00B87A2A">
        <w:t>I alt</w:t>
      </w:r>
      <w:r w:rsidR="00046D64">
        <w:t xml:space="preserve"> </w:t>
      </w:r>
      <w:r w:rsidR="00E80AD0">
        <w:t xml:space="preserve">utgjorde kostnader på eksterne konsulenter </w:t>
      </w:r>
      <w:r w:rsidR="001C7982">
        <w:t xml:space="preserve">584 </w:t>
      </w:r>
      <w:r w:rsidR="00B11279">
        <w:t>millioner kroner</w:t>
      </w:r>
      <w:r w:rsidR="00794725">
        <w:t xml:space="preserve"> </w:t>
      </w:r>
      <w:r w:rsidR="001C7982">
        <w:t>(</w:t>
      </w:r>
      <w:r w:rsidR="00717E22">
        <w:t>29</w:t>
      </w:r>
      <w:r w:rsidR="001C7982">
        <w:t>%) og 1</w:t>
      </w:r>
      <w:r w:rsidR="00794725">
        <w:t> </w:t>
      </w:r>
      <w:r w:rsidR="001C7982">
        <w:t>3</w:t>
      </w:r>
      <w:r w:rsidR="00794725">
        <w:t xml:space="preserve">75 </w:t>
      </w:r>
      <w:r w:rsidR="00B11279">
        <w:t>millioner kroner</w:t>
      </w:r>
      <w:r w:rsidR="00794725">
        <w:t xml:space="preserve"> (</w:t>
      </w:r>
      <w:r w:rsidR="00CD2224">
        <w:t>51,4</w:t>
      </w:r>
      <w:r w:rsidR="00794725">
        <w:t xml:space="preserve">%) </w:t>
      </w:r>
      <w:r w:rsidR="00612B24">
        <w:t xml:space="preserve">av personellkostnadene på henholdsvis applikasjonsforvaltning og </w:t>
      </w:r>
      <w:r w:rsidR="00E000D9">
        <w:t>applikasjonsutvikling.</w:t>
      </w:r>
    </w:p>
    <w:p w14:paraId="2ACA784B" w14:textId="77777777" w:rsidR="00E24F58" w:rsidRDefault="00426375" w:rsidP="00E24F58">
      <w:pPr>
        <w:keepNext/>
        <w:jc w:val="center"/>
      </w:pPr>
      <w:r>
        <w:rPr>
          <w:noProof/>
        </w:rPr>
        <w:lastRenderedPageBreak/>
        <w:drawing>
          <wp:inline distT="0" distB="0" distL="0" distR="0" wp14:anchorId="24CD4992" wp14:editId="4D87B93D">
            <wp:extent cx="5385921" cy="3036627"/>
            <wp:effectExtent l="0" t="0" r="5715" b="0"/>
            <wp:docPr id="203" name="Bilde 192" descr="Søylediagram som viser fordelingen av kostnader for både internt og eksternt IKT personell per IKT funksjonsområde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192" descr="Søylediagram som viser fordelingen av kostnader for både internt og eksternt IKT personell per IKT funksjonsområde for 2021. "/>
                    <pic:cNvPicPr/>
                  </pic:nvPicPr>
                  <pic:blipFill>
                    <a:blip r:embed="rId33">
                      <a:extLst>
                        <a:ext uri="{28A0092B-C50C-407E-A947-70E740481C1C}">
                          <a14:useLocalDpi xmlns:a14="http://schemas.microsoft.com/office/drawing/2010/main" val="0"/>
                        </a:ext>
                      </a:extLst>
                    </a:blip>
                    <a:stretch>
                      <a:fillRect/>
                    </a:stretch>
                  </pic:blipFill>
                  <pic:spPr>
                    <a:xfrm>
                      <a:off x="0" y="0"/>
                      <a:ext cx="5385921" cy="3036627"/>
                    </a:xfrm>
                    <a:prstGeom prst="rect">
                      <a:avLst/>
                    </a:prstGeom>
                  </pic:spPr>
                </pic:pic>
              </a:graphicData>
            </a:graphic>
          </wp:inline>
        </w:drawing>
      </w:r>
    </w:p>
    <w:p w14:paraId="7DAAD561" w14:textId="690767BA" w:rsidR="00F15972" w:rsidRDefault="00E24F58" w:rsidP="00CD3270">
      <w:pPr>
        <w:pStyle w:val="Bildetekst"/>
      </w:pPr>
      <w:r>
        <w:t xml:space="preserve">Figur </w:t>
      </w:r>
      <w:r w:rsidR="00DC6F8E">
        <w:fldChar w:fldCharType="begin"/>
      </w:r>
      <w:r w:rsidR="00DC6F8E">
        <w:instrText xml:space="preserve"> SEQ Figur \* ARABIC </w:instrText>
      </w:r>
      <w:r w:rsidR="00DC6F8E">
        <w:fldChar w:fldCharType="separate"/>
      </w:r>
      <w:r w:rsidR="00943236">
        <w:rPr>
          <w:noProof/>
        </w:rPr>
        <w:t>16</w:t>
      </w:r>
      <w:r w:rsidR="00DC6F8E">
        <w:rPr>
          <w:noProof/>
        </w:rPr>
        <w:fldChar w:fldCharType="end"/>
      </w:r>
      <w:r>
        <w:t>:</w:t>
      </w:r>
      <w:r w:rsidR="001A5135">
        <w:t xml:space="preserve"> </w:t>
      </w:r>
      <w:r w:rsidRPr="000B4208">
        <w:t>Fordeling av kostnader for internt og eksternt IKT-personell pr IKT-funksjonsområde</w:t>
      </w:r>
    </w:p>
    <w:p w14:paraId="7D934F82" w14:textId="3FA459B1" w:rsidR="00426375" w:rsidRDefault="00426375" w:rsidP="00CD3270">
      <w:pPr>
        <w:pStyle w:val="Bildetekst"/>
      </w:pPr>
    </w:p>
    <w:p w14:paraId="7C49EEB4" w14:textId="76054313" w:rsidR="00E947C0" w:rsidRDefault="00526B1B" w:rsidP="00426375">
      <w:r>
        <w:t xml:space="preserve">Samlet peker </w:t>
      </w:r>
      <w:r w:rsidR="009F1197">
        <w:t xml:space="preserve">våre funn på at sektoren har organisert </w:t>
      </w:r>
      <w:r w:rsidR="0033502D">
        <w:t xml:space="preserve">sin aktivitet innen applikasjonsområdet under intern administrativ kontroll, med kjøp av konsulenttjenester </w:t>
      </w:r>
      <w:r w:rsidR="0008154D">
        <w:t xml:space="preserve">som et </w:t>
      </w:r>
      <w:r w:rsidR="006F4926">
        <w:t xml:space="preserve">middel </w:t>
      </w:r>
      <w:r w:rsidR="00426375">
        <w:t xml:space="preserve">for å få tilgang på kompetanse og fleksibel kapasitet for tidsavgrensede initiativer. For en sektor med mange store digitale løft og pågående digitaliseringsprosjekter vil </w:t>
      </w:r>
      <w:r w:rsidR="00204885">
        <w:t xml:space="preserve">en slik </w:t>
      </w:r>
      <w:r w:rsidR="0008154D">
        <w:t xml:space="preserve">tilnærming </w:t>
      </w:r>
      <w:r w:rsidR="00426375">
        <w:t xml:space="preserve">være forventet for å kunne gjennomføre </w:t>
      </w:r>
      <w:r w:rsidR="00204885">
        <w:t xml:space="preserve">store og krevende </w:t>
      </w:r>
      <w:r w:rsidR="00426375">
        <w:t>initiative</w:t>
      </w:r>
      <w:r w:rsidR="00204885">
        <w:t>r</w:t>
      </w:r>
      <w:r w:rsidR="00426375">
        <w:t xml:space="preserve">. </w:t>
      </w:r>
      <w:r w:rsidR="00DB4B95">
        <w:t xml:space="preserve">Samtidig ser vi at </w:t>
      </w:r>
      <w:r w:rsidR="00204885">
        <w:t xml:space="preserve">sektoren </w:t>
      </w:r>
      <w:r w:rsidR="0048798A">
        <w:t xml:space="preserve">innen applikasjonsforvaltning </w:t>
      </w:r>
      <w:r w:rsidR="005A3324">
        <w:t xml:space="preserve">bruker 105 </w:t>
      </w:r>
      <w:r w:rsidR="00B11279">
        <w:t>millioner kroner</w:t>
      </w:r>
      <w:r w:rsidR="005A3324">
        <w:t xml:space="preserve"> på tjenesteutsetting, og 585 </w:t>
      </w:r>
      <w:r w:rsidR="00B11279">
        <w:t>millioner kroner</w:t>
      </w:r>
      <w:r w:rsidR="005A3324">
        <w:t xml:space="preserve"> på eksterne konsulenter</w:t>
      </w:r>
      <w:r w:rsidR="003B1E86">
        <w:t>, noe som</w:t>
      </w:r>
      <w:r w:rsidR="003B5C29">
        <w:t xml:space="preserve"> kan tyde på at det </w:t>
      </w:r>
      <w:r w:rsidR="00E41646">
        <w:t xml:space="preserve">har vært </w:t>
      </w:r>
      <w:r w:rsidR="003B5C29">
        <w:t>utfordrende å tiltrekke seg den rette kompetansen på dette feltet internt</w:t>
      </w:r>
      <w:r w:rsidR="003B1E86">
        <w:t xml:space="preserve">. Dette </w:t>
      </w:r>
      <w:r w:rsidR="00E35172">
        <w:t xml:space="preserve">understøttes </w:t>
      </w:r>
      <w:r w:rsidR="00A9597E">
        <w:t xml:space="preserve">av </w:t>
      </w:r>
      <w:r w:rsidR="008A34D8">
        <w:t xml:space="preserve">en </w:t>
      </w:r>
      <w:r w:rsidR="00906A39">
        <w:t>kartlegging gjennomført av Samfunnsøkonomisk Analyse AS</w:t>
      </w:r>
      <w:r w:rsidR="00684FC4">
        <w:t>, som</w:t>
      </w:r>
      <w:r w:rsidR="00A015ED">
        <w:t xml:space="preserve"> også peker på at kompetansebehovet vil være økende</w:t>
      </w:r>
      <w:r w:rsidR="00976511">
        <w:t>, med</w:t>
      </w:r>
      <w:r w:rsidR="00684FC4">
        <w:t xml:space="preserve"> behov for </w:t>
      </w:r>
      <w:r w:rsidR="006747D3">
        <w:t>40.000</w:t>
      </w:r>
      <w:r w:rsidR="00081904">
        <w:t xml:space="preserve"> flere sysselsatte med </w:t>
      </w:r>
      <w:r w:rsidR="000955EF">
        <w:t xml:space="preserve">IKT-utdannelse </w:t>
      </w:r>
      <w:r w:rsidR="007C36C6">
        <w:t>frem mot 2030</w:t>
      </w:r>
      <w:r w:rsidR="00881F71">
        <w:rPr>
          <w:rStyle w:val="Fotnotereferanse"/>
        </w:rPr>
        <w:footnoteReference w:id="10"/>
      </w:r>
      <w:r w:rsidR="00684FC4">
        <w:t>. I</w:t>
      </w:r>
      <w:r w:rsidR="002350AC">
        <w:t xml:space="preserve"> våre </w:t>
      </w:r>
      <w:r w:rsidR="00A9597E">
        <w:t xml:space="preserve">intervjuer med informanter på sky-området, blir </w:t>
      </w:r>
      <w:r w:rsidR="0075507F">
        <w:t xml:space="preserve">det </w:t>
      </w:r>
      <w:r w:rsidR="00A9597E">
        <w:t xml:space="preserve">pekt på at </w:t>
      </w:r>
      <w:r w:rsidR="00042BF9">
        <w:t>stadig flere applikasjoner blir utviklet på skyplat</w:t>
      </w:r>
      <w:r w:rsidR="005B2D8D">
        <w:t xml:space="preserve">tform, noe som også trekker kompetansen i markedet </w:t>
      </w:r>
      <w:r w:rsidR="005D75ED">
        <w:t xml:space="preserve">og hos arbeidsstokken </w:t>
      </w:r>
      <w:proofErr w:type="gramStart"/>
      <w:r w:rsidR="005D75ED">
        <w:t>for øvrig</w:t>
      </w:r>
      <w:proofErr w:type="gramEnd"/>
      <w:r w:rsidR="005D75ED">
        <w:t xml:space="preserve"> </w:t>
      </w:r>
      <w:r w:rsidR="005B2D8D">
        <w:t xml:space="preserve">mot disse </w:t>
      </w:r>
      <w:r w:rsidR="008A2281">
        <w:t>løsningene</w:t>
      </w:r>
      <w:r w:rsidR="005B2D8D" w:rsidRPr="000B3C3B">
        <w:t>.</w:t>
      </w:r>
      <w:r w:rsidR="0063256B" w:rsidRPr="000B3C3B">
        <w:t xml:space="preserve"> </w:t>
      </w:r>
      <w:r w:rsidR="00E947C0" w:rsidRPr="00557966">
        <w:t xml:space="preserve">Med grunnlag i dette blir en </w:t>
      </w:r>
      <w:r w:rsidR="0063256B" w:rsidRPr="000B3C3B">
        <w:t>viktig fremtidig diskusjon for sektoren</w:t>
      </w:r>
      <w:r w:rsidR="00E947C0" w:rsidRPr="00557966">
        <w:t>:</w:t>
      </w:r>
    </w:p>
    <w:p w14:paraId="66536AC7" w14:textId="77777777" w:rsidR="00D13A20" w:rsidRDefault="00D13A20" w:rsidP="00426375">
      <w:pPr>
        <w:rPr>
          <w:b/>
          <w:bCs/>
        </w:rPr>
      </w:pPr>
    </w:p>
    <w:p w14:paraId="65D49E6A" w14:textId="4B6864B8" w:rsidR="00234135" w:rsidRDefault="00D13A20" w:rsidP="00985D0F">
      <w:pPr>
        <w:jc w:val="center"/>
        <w:sectPr w:rsidR="00234135" w:rsidSect="0005399D">
          <w:headerReference w:type="default" r:id="rId34"/>
          <w:footerReference w:type="default" r:id="rId35"/>
          <w:headerReference w:type="first" r:id="rId36"/>
          <w:footerReference w:type="first" r:id="rId37"/>
          <w:pgSz w:w="11906" w:h="16838" w:code="9"/>
          <w:pgMar w:top="1418" w:right="1418" w:bottom="1418" w:left="1418" w:header="709" w:footer="283" w:gutter="0"/>
          <w:cols w:space="282"/>
          <w:titlePg/>
          <w:docGrid w:linePitch="360"/>
        </w:sectPr>
      </w:pPr>
      <w:r w:rsidRPr="00D13A20">
        <w:rPr>
          <w:i/>
          <w:iCs/>
        </w:rPr>
        <w:t xml:space="preserve">«Hvordan kan sektoren </w:t>
      </w:r>
      <w:r w:rsidR="005D562C">
        <w:rPr>
          <w:i/>
          <w:iCs/>
        </w:rPr>
        <w:t xml:space="preserve">best </w:t>
      </w:r>
      <w:r w:rsidRPr="00D13A20">
        <w:rPr>
          <w:i/>
          <w:iCs/>
        </w:rPr>
        <w:t>løse sitt behov for fremtidsrettet IKT-kompetanse og fleksibel kapasitet gjennom intern kompetansebygging, utnyttelse av eksterne tjenester og ressurser i markedet?»</w:t>
      </w:r>
    </w:p>
    <w:p w14:paraId="1F05A48D" w14:textId="77777777" w:rsidR="007B66BE" w:rsidRPr="007B66BE" w:rsidRDefault="007B66BE" w:rsidP="00557966">
      <w:pPr>
        <w:spacing w:after="0"/>
      </w:pPr>
    </w:p>
    <w:p w14:paraId="696405AE" w14:textId="77777777" w:rsidR="004459AC" w:rsidRDefault="004459AC" w:rsidP="004459AC">
      <w:pPr>
        <w:pStyle w:val="Overskrift1"/>
        <w:pBdr>
          <w:bottom w:val="single" w:sz="6" w:space="1" w:color="auto"/>
        </w:pBdr>
      </w:pPr>
      <w:bookmarkStart w:id="131" w:name="_Toc119576443"/>
      <w:bookmarkStart w:id="132" w:name="_Toc119577253"/>
      <w:bookmarkStart w:id="133" w:name="_Toc119576444"/>
      <w:bookmarkStart w:id="134" w:name="_Toc119577254"/>
      <w:bookmarkStart w:id="135" w:name="_Toc119576445"/>
      <w:bookmarkStart w:id="136" w:name="_Toc119577255"/>
      <w:bookmarkStart w:id="137" w:name="_Toc119576446"/>
      <w:bookmarkStart w:id="138" w:name="_Toc119577256"/>
      <w:bookmarkStart w:id="139" w:name="_Toc119576447"/>
      <w:bookmarkStart w:id="140" w:name="_Toc119577257"/>
      <w:bookmarkStart w:id="141" w:name="_Toc119576448"/>
      <w:bookmarkStart w:id="142" w:name="_Toc119577258"/>
      <w:bookmarkStart w:id="143" w:name="_Toc119576449"/>
      <w:bookmarkStart w:id="144" w:name="_Toc119577259"/>
      <w:bookmarkStart w:id="145" w:name="_Toc119576450"/>
      <w:bookmarkStart w:id="146" w:name="_Toc119577260"/>
      <w:bookmarkStart w:id="147" w:name="_Toc119576451"/>
      <w:bookmarkStart w:id="148" w:name="_Toc119577261"/>
      <w:bookmarkStart w:id="149" w:name="_Toc119576452"/>
      <w:bookmarkStart w:id="150" w:name="_Toc119577262"/>
      <w:bookmarkStart w:id="151" w:name="_Toc119576453"/>
      <w:bookmarkStart w:id="152" w:name="_Toc119577263"/>
      <w:bookmarkStart w:id="153" w:name="_Toc119576454"/>
      <w:bookmarkStart w:id="154" w:name="_Toc119577264"/>
      <w:bookmarkStart w:id="155" w:name="_Toc119576455"/>
      <w:bookmarkStart w:id="156" w:name="_Toc119577265"/>
      <w:bookmarkStart w:id="157" w:name="_Toc119576456"/>
      <w:bookmarkStart w:id="158" w:name="_Toc119577266"/>
      <w:bookmarkStart w:id="159" w:name="_Toc119576457"/>
      <w:bookmarkStart w:id="160" w:name="_Toc119577267"/>
      <w:bookmarkStart w:id="161" w:name="_Toc119576458"/>
      <w:bookmarkStart w:id="162" w:name="_Toc119577268"/>
      <w:bookmarkStart w:id="163" w:name="_Toc119576459"/>
      <w:bookmarkStart w:id="164" w:name="_Toc119577269"/>
      <w:bookmarkStart w:id="165" w:name="_Toc119576460"/>
      <w:bookmarkStart w:id="166" w:name="_Toc119577270"/>
      <w:bookmarkStart w:id="167" w:name="_Toc119576461"/>
      <w:bookmarkStart w:id="168" w:name="_Toc119577271"/>
      <w:bookmarkStart w:id="169" w:name="_Toc119576462"/>
      <w:bookmarkStart w:id="170" w:name="_Toc119577272"/>
      <w:bookmarkStart w:id="171" w:name="_Toc119576463"/>
      <w:bookmarkStart w:id="172" w:name="_Toc119577273"/>
      <w:bookmarkStart w:id="173" w:name="_Toc119576464"/>
      <w:bookmarkStart w:id="174" w:name="_Toc119577274"/>
      <w:bookmarkStart w:id="175" w:name="_Toc119576465"/>
      <w:bookmarkStart w:id="176" w:name="_Toc119577275"/>
      <w:bookmarkStart w:id="177" w:name="_Toc119576466"/>
      <w:bookmarkStart w:id="178" w:name="_Toc119577276"/>
      <w:bookmarkStart w:id="179" w:name="_Toc119576467"/>
      <w:bookmarkStart w:id="180" w:name="_Toc119577277"/>
      <w:bookmarkStart w:id="181" w:name="_Toc119576468"/>
      <w:bookmarkStart w:id="182" w:name="_Toc119577278"/>
      <w:bookmarkStart w:id="183" w:name="_Toc119576469"/>
      <w:bookmarkStart w:id="184" w:name="_Toc119577279"/>
      <w:bookmarkStart w:id="185" w:name="_Toc119576470"/>
      <w:bookmarkStart w:id="186" w:name="_Toc119577280"/>
      <w:bookmarkStart w:id="187" w:name="_Toc119576471"/>
      <w:bookmarkStart w:id="188" w:name="_Toc119577281"/>
      <w:bookmarkStart w:id="189" w:name="_Toc119576472"/>
      <w:bookmarkStart w:id="190" w:name="_Toc119577282"/>
      <w:bookmarkStart w:id="191" w:name="_Toc119576473"/>
      <w:bookmarkStart w:id="192" w:name="_Toc119577283"/>
      <w:bookmarkStart w:id="193" w:name="_Toc119576474"/>
      <w:bookmarkStart w:id="194" w:name="_Toc119577284"/>
      <w:bookmarkStart w:id="195" w:name="_Toc119576475"/>
      <w:bookmarkStart w:id="196" w:name="_Toc119577285"/>
      <w:bookmarkStart w:id="197" w:name="_Toc119576476"/>
      <w:bookmarkStart w:id="198" w:name="_Toc119577286"/>
      <w:bookmarkStart w:id="199" w:name="_Toc119576477"/>
      <w:bookmarkStart w:id="200" w:name="_Toc119577287"/>
      <w:bookmarkStart w:id="201" w:name="_Toc119576478"/>
      <w:bookmarkStart w:id="202" w:name="_Toc119577288"/>
      <w:bookmarkStart w:id="203" w:name="_Toc119576479"/>
      <w:bookmarkStart w:id="204" w:name="_Toc119577289"/>
      <w:bookmarkStart w:id="205" w:name="_Toc119576480"/>
      <w:bookmarkStart w:id="206" w:name="_Toc119577290"/>
      <w:bookmarkStart w:id="207" w:name="_Toc119576481"/>
      <w:bookmarkStart w:id="208" w:name="_Toc119577291"/>
      <w:bookmarkStart w:id="209" w:name="_Toc119576482"/>
      <w:bookmarkStart w:id="210" w:name="_Toc119577292"/>
      <w:bookmarkStart w:id="211" w:name="_Toc119576483"/>
      <w:bookmarkStart w:id="212" w:name="_Toc119577293"/>
      <w:bookmarkStart w:id="213" w:name="_Toc119576484"/>
      <w:bookmarkStart w:id="214" w:name="_Toc119577294"/>
      <w:bookmarkStart w:id="215" w:name="_Toc119576485"/>
      <w:bookmarkStart w:id="216" w:name="_Toc119577295"/>
      <w:bookmarkStart w:id="217" w:name="_Toc119576486"/>
      <w:bookmarkStart w:id="218" w:name="_Toc119577296"/>
      <w:bookmarkStart w:id="219" w:name="_Toc119576487"/>
      <w:bookmarkStart w:id="220" w:name="_Toc119577297"/>
      <w:bookmarkStart w:id="221" w:name="_Toc119576488"/>
      <w:bookmarkStart w:id="222" w:name="_Toc119577298"/>
      <w:bookmarkStart w:id="223" w:name="_Toc119576489"/>
      <w:bookmarkStart w:id="224" w:name="_Toc119577299"/>
      <w:bookmarkStart w:id="225" w:name="_Toc119576490"/>
      <w:bookmarkStart w:id="226" w:name="_Toc119577300"/>
      <w:bookmarkStart w:id="227" w:name="_Toc119576491"/>
      <w:bookmarkStart w:id="228" w:name="_Toc119577301"/>
      <w:bookmarkStart w:id="229" w:name="_Toc119576492"/>
      <w:bookmarkStart w:id="230" w:name="_Toc119577302"/>
      <w:bookmarkStart w:id="231" w:name="_Toc119576493"/>
      <w:bookmarkStart w:id="232" w:name="_Toc119577303"/>
      <w:bookmarkStart w:id="233" w:name="_Toc14678454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Vedlegg</w:t>
      </w:r>
      <w:bookmarkEnd w:id="233"/>
    </w:p>
    <w:p w14:paraId="06ACC55D" w14:textId="23BC009A" w:rsidR="0057791B" w:rsidRDefault="0057791B" w:rsidP="00FA3715">
      <w:pPr>
        <w:pStyle w:val="Overskrift2"/>
      </w:pPr>
      <w:bookmarkStart w:id="234" w:name="_Toc146784550"/>
      <w:r>
        <w:t>Begreper og definisjoner</w:t>
      </w:r>
      <w:bookmarkEnd w:id="234"/>
    </w:p>
    <w:p w14:paraId="290CB1B3" w14:textId="78D41839" w:rsidR="00B16406" w:rsidRPr="00B16406" w:rsidRDefault="00B16406" w:rsidP="00FA3715">
      <w:pPr>
        <w:pStyle w:val="Overskrift3"/>
      </w:pPr>
      <w:bookmarkStart w:id="235" w:name="_Toc146784551"/>
      <w:r>
        <w:t>Definisjoner av IKT-nøkkeltall</w:t>
      </w:r>
      <w:bookmarkEnd w:id="235"/>
    </w:p>
    <w:tbl>
      <w:tblPr>
        <w:tblStyle w:val="Tabellrutenett"/>
        <w:tblW w:w="9402" w:type="dxa"/>
        <w:tblLayout w:type="fixed"/>
        <w:tblLook w:val="04A0" w:firstRow="1" w:lastRow="0" w:firstColumn="1" w:lastColumn="0" w:noHBand="0" w:noVBand="1"/>
      </w:tblPr>
      <w:tblGrid>
        <w:gridCol w:w="2065"/>
        <w:gridCol w:w="7337"/>
      </w:tblGrid>
      <w:tr w:rsidR="00107E4F" w:rsidRPr="00545C02" w14:paraId="2CFF9F46" w14:textId="77777777" w:rsidTr="00557966">
        <w:trPr>
          <w:trHeight w:val="312"/>
          <w:tblHeader/>
        </w:trPr>
        <w:tc>
          <w:tcPr>
            <w:tcW w:w="2065" w:type="dxa"/>
            <w:shd w:val="clear" w:color="auto" w:fill="F0F0F0" w:themeFill="background1"/>
            <w:vAlign w:val="center"/>
          </w:tcPr>
          <w:p w14:paraId="10831F84" w14:textId="77777777" w:rsidR="00107E4F" w:rsidRPr="00E306D1" w:rsidRDefault="00107E4F">
            <w:pPr>
              <w:spacing w:before="60" w:after="60"/>
              <w:rPr>
                <w:b/>
              </w:rPr>
            </w:pPr>
            <w:r w:rsidRPr="00E306D1">
              <w:rPr>
                <w:b/>
              </w:rPr>
              <w:t>Begrep</w:t>
            </w:r>
          </w:p>
        </w:tc>
        <w:tc>
          <w:tcPr>
            <w:tcW w:w="7337" w:type="dxa"/>
            <w:shd w:val="clear" w:color="auto" w:fill="F0F0F0" w:themeFill="background1"/>
            <w:vAlign w:val="center"/>
          </w:tcPr>
          <w:p w14:paraId="115CB7B0" w14:textId="77777777" w:rsidR="00107E4F" w:rsidRPr="00E306D1" w:rsidRDefault="00107E4F">
            <w:pPr>
              <w:spacing w:before="60" w:after="60"/>
              <w:rPr>
                <w:b/>
              </w:rPr>
            </w:pPr>
            <w:r w:rsidRPr="00E306D1">
              <w:rPr>
                <w:b/>
              </w:rPr>
              <w:t>Definisjon</w:t>
            </w:r>
          </w:p>
        </w:tc>
      </w:tr>
      <w:tr w:rsidR="00107E4F" w:rsidRPr="00545C02" w14:paraId="0A757317" w14:textId="77777777" w:rsidTr="00557966">
        <w:tc>
          <w:tcPr>
            <w:tcW w:w="2065" w:type="dxa"/>
            <w:vAlign w:val="center"/>
          </w:tcPr>
          <w:p w14:paraId="658E0D14" w14:textId="53FACAD9" w:rsidR="00107E4F" w:rsidRPr="00557966" w:rsidRDefault="00107E4F">
            <w:pPr>
              <w:pStyle w:val="NormalWeb"/>
              <w:spacing w:before="60" w:afterLines="60" w:after="144"/>
              <w:rPr>
                <w:rFonts w:asciiTheme="minorHAnsi" w:eastAsiaTheme="minorEastAsia" w:hAnsiTheme="minorHAnsi" w:cstheme="minorHAnsi"/>
                <w:b/>
                <w:kern w:val="24"/>
                <w:sz w:val="16"/>
                <w:szCs w:val="16"/>
              </w:rPr>
            </w:pPr>
            <w:r w:rsidRPr="00557966">
              <w:rPr>
                <w:rFonts w:asciiTheme="minorHAnsi" w:eastAsiaTheme="minorEastAsia" w:hAnsiTheme="minorHAnsi" w:cstheme="minorHAnsi"/>
                <w:b/>
                <w:kern w:val="24"/>
                <w:sz w:val="16"/>
                <w:szCs w:val="16"/>
              </w:rPr>
              <w:t xml:space="preserve">Virksomhetens </w:t>
            </w:r>
            <w:r w:rsidR="00B71532" w:rsidRPr="00557966">
              <w:rPr>
                <w:rFonts w:asciiTheme="minorHAnsi" w:eastAsiaTheme="minorEastAsia" w:hAnsiTheme="minorHAnsi" w:cstheme="minorHAnsi"/>
                <w:b/>
                <w:kern w:val="24"/>
                <w:sz w:val="16"/>
                <w:szCs w:val="16"/>
              </w:rPr>
              <w:t>driftsinntekter /</w:t>
            </w:r>
            <w:r w:rsidRPr="00557966">
              <w:rPr>
                <w:rFonts w:asciiTheme="minorHAnsi" w:eastAsiaTheme="minorEastAsia" w:hAnsiTheme="minorHAnsi" w:cstheme="minorHAnsi"/>
                <w:b/>
                <w:kern w:val="24"/>
                <w:sz w:val="16"/>
                <w:szCs w:val="16"/>
              </w:rPr>
              <w:t xml:space="preserve"> </w:t>
            </w:r>
          </w:p>
          <w:p w14:paraId="1598B181"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Totale driftsinntekter</w:t>
            </w:r>
          </w:p>
        </w:tc>
        <w:tc>
          <w:tcPr>
            <w:tcW w:w="7337" w:type="dxa"/>
            <w:vAlign w:val="center"/>
          </w:tcPr>
          <w:p w14:paraId="1DDE514C" w14:textId="77777777" w:rsidR="00107E4F" w:rsidRPr="00E10DB7" w:rsidRDefault="00107E4F">
            <w:pPr>
              <w:pStyle w:val="NormalWeb"/>
              <w:spacing w:before="60" w:afterLines="60" w:after="144"/>
              <w:rPr>
                <w:rFonts w:asciiTheme="minorHAnsi" w:eastAsiaTheme="minorEastAsia" w:hAnsiTheme="minorHAnsi" w:cstheme="minorHAnsi"/>
                <w:bCs/>
                <w:kern w:val="24"/>
                <w:sz w:val="16"/>
                <w:szCs w:val="16"/>
              </w:rPr>
            </w:pPr>
            <w:r w:rsidRPr="00E10DB7">
              <w:rPr>
                <w:rFonts w:asciiTheme="minorHAnsi" w:eastAsiaTheme="minorEastAsia" w:hAnsiTheme="minorHAnsi" w:cstheme="minorHAnsi"/>
                <w:bCs/>
                <w:kern w:val="24"/>
                <w:sz w:val="16"/>
                <w:szCs w:val="16"/>
              </w:rPr>
              <w:t xml:space="preserve">Virksomhetens totale årlige inntekter. </w:t>
            </w:r>
          </w:p>
          <w:p w14:paraId="74E18342"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eastAsiaTheme="minorEastAsia" w:hAnsiTheme="minorHAnsi" w:cstheme="minorHAnsi"/>
                <w:kern w:val="24"/>
                <w:sz w:val="16"/>
                <w:szCs w:val="16"/>
              </w:rPr>
              <w:br/>
              <w:t>Benytter innrapporterte tall fra årsrapport.</w:t>
            </w:r>
          </w:p>
        </w:tc>
      </w:tr>
      <w:tr w:rsidR="00107E4F" w:rsidRPr="00545C02" w14:paraId="27ECA20A" w14:textId="77777777" w:rsidTr="00557966">
        <w:tc>
          <w:tcPr>
            <w:tcW w:w="2065" w:type="dxa"/>
            <w:vAlign w:val="center"/>
          </w:tcPr>
          <w:p w14:paraId="56CCF36D" w14:textId="77777777" w:rsidR="00107E4F" w:rsidRPr="00557966" w:rsidRDefault="00107E4F">
            <w:pPr>
              <w:pStyle w:val="NormalWeb"/>
              <w:spacing w:before="60" w:afterLines="60" w:after="144"/>
              <w:rPr>
                <w:rFonts w:asciiTheme="minorHAnsi" w:eastAsiaTheme="minorEastAsia" w:hAnsiTheme="minorHAnsi" w:cstheme="minorHAnsi"/>
                <w:b/>
                <w:kern w:val="24"/>
                <w:sz w:val="16"/>
                <w:szCs w:val="16"/>
              </w:rPr>
            </w:pPr>
            <w:r w:rsidRPr="00557966">
              <w:rPr>
                <w:rFonts w:asciiTheme="minorHAnsi" w:eastAsiaTheme="minorEastAsia" w:hAnsiTheme="minorHAnsi" w:cstheme="minorHAnsi"/>
                <w:b/>
                <w:kern w:val="24"/>
                <w:sz w:val="16"/>
                <w:szCs w:val="16"/>
              </w:rPr>
              <w:t xml:space="preserve">Virksomhetens driftskostnader / </w:t>
            </w:r>
          </w:p>
          <w:p w14:paraId="0FA36DAC"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Totale driftskostnader</w:t>
            </w:r>
          </w:p>
        </w:tc>
        <w:tc>
          <w:tcPr>
            <w:tcW w:w="7337" w:type="dxa"/>
            <w:vAlign w:val="center"/>
          </w:tcPr>
          <w:p w14:paraId="0BB3277E"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kern w:val="24"/>
                <w:sz w:val="16"/>
                <w:szCs w:val="16"/>
              </w:rPr>
              <w:t>Virksomhetens årlige driftskostnader.</w:t>
            </w:r>
          </w:p>
          <w:p w14:paraId="72FED59A" w14:textId="77777777" w:rsidR="00107E4F" w:rsidRPr="00E10DB7" w:rsidRDefault="00107E4F">
            <w:pPr>
              <w:pStyle w:val="NormalWeb"/>
              <w:spacing w:before="60" w:afterLines="60" w:after="144"/>
              <w:rPr>
                <w:rFonts w:asciiTheme="minorHAnsi" w:eastAsiaTheme="minorEastAsia" w:hAnsiTheme="minorHAnsi" w:cstheme="minorHAnsi"/>
                <w:kern w:val="24"/>
                <w:sz w:val="16"/>
                <w:szCs w:val="16"/>
              </w:rPr>
            </w:pPr>
            <w:r w:rsidRPr="00E10DB7">
              <w:rPr>
                <w:rFonts w:asciiTheme="minorHAnsi" w:eastAsiaTheme="minorEastAsia" w:hAnsiTheme="minorHAnsi" w:cstheme="minorHAnsi"/>
                <w:kern w:val="24"/>
                <w:sz w:val="16"/>
                <w:szCs w:val="16"/>
              </w:rPr>
              <w:t xml:space="preserve">Dette inkluderer eksempelvis elementer som salgs-, drifts- og administrasjonskostnader, kostnaden for solgte varer (eller omsetningskostnader), forskning og utvikling, avskrivninger og aktiveringer. </w:t>
            </w:r>
          </w:p>
          <w:p w14:paraId="35556411"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eastAsiaTheme="minorEastAsia" w:hAnsiTheme="minorHAnsi" w:cstheme="minorHAnsi"/>
                <w:kern w:val="24"/>
                <w:sz w:val="16"/>
                <w:szCs w:val="16"/>
              </w:rPr>
              <w:br/>
              <w:t>Benytter innrapporterte tall fra årsrapport.</w:t>
            </w:r>
          </w:p>
        </w:tc>
      </w:tr>
      <w:tr w:rsidR="00107E4F" w:rsidRPr="00545C02" w14:paraId="5FC9BC6D" w14:textId="77777777" w:rsidTr="00557966">
        <w:tc>
          <w:tcPr>
            <w:tcW w:w="2065" w:type="dxa"/>
            <w:vAlign w:val="center"/>
          </w:tcPr>
          <w:p w14:paraId="3C112683"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IKT-driftskostnader</w:t>
            </w:r>
          </w:p>
        </w:tc>
        <w:tc>
          <w:tcPr>
            <w:tcW w:w="7337" w:type="dxa"/>
            <w:vAlign w:val="center"/>
          </w:tcPr>
          <w:p w14:paraId="78FF3100"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 xml:space="preserve">Totale kostnader forbundet med løpende drift av standard IKT og IKT-avdelingen/funksjonen brukt i løpet av en 12-mnd periode. </w:t>
            </w:r>
            <w:r w:rsidRPr="00E10DB7">
              <w:rPr>
                <w:rFonts w:asciiTheme="minorHAnsi" w:hAnsiTheme="minorHAnsi" w:cstheme="minorHAnsi"/>
                <w:i/>
                <w:iCs/>
                <w:kern w:val="24"/>
                <w:sz w:val="16"/>
                <w:szCs w:val="16"/>
              </w:rPr>
              <w:t xml:space="preserve">Analysen omfatter 12-mnd regnskapstall og ressurstall fra det aktuelle året.  </w:t>
            </w:r>
          </w:p>
          <w:p w14:paraId="7107BCCA"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Kostnader følger</w:t>
            </w:r>
            <w:r w:rsidRPr="00E10DB7">
              <w:rPr>
                <w:rFonts w:asciiTheme="minorHAnsi" w:hAnsiTheme="minorHAnsi" w:cstheme="minorHAnsi"/>
                <w:b/>
                <w:bCs/>
                <w:kern w:val="24"/>
                <w:sz w:val="16"/>
                <w:szCs w:val="16"/>
              </w:rPr>
              <w:t xml:space="preserve"> kontantprinsippet</w:t>
            </w:r>
            <w:r w:rsidRPr="00E10DB7">
              <w:rPr>
                <w:rFonts w:asciiTheme="minorHAnsi" w:hAnsiTheme="minorHAnsi" w:cstheme="minorHAnsi"/>
                <w:kern w:val="24"/>
                <w:sz w:val="16"/>
                <w:szCs w:val="16"/>
              </w:rPr>
              <w:t>, dvs. at operasjonelle kostnader fra perioden inkluderes, og avskrivninger ekskluderes. Avskrivninger og nedskrivninger er innsamlet separat (oppgitt som sum av alle avskrivninger/nedskrivninger for perioden).</w:t>
            </w:r>
          </w:p>
          <w:p w14:paraId="50E291E2" w14:textId="77777777" w:rsidR="00107E4F" w:rsidRPr="00E10DB7" w:rsidRDefault="00107E4F">
            <w:pPr>
              <w:pStyle w:val="NormalWeb"/>
              <w:spacing w:before="60" w:afterLines="60" w:after="144" w:line="256" w:lineRule="auto"/>
              <w:rPr>
                <w:rFonts w:asciiTheme="minorHAnsi" w:hAnsiTheme="minorHAnsi" w:cstheme="minorHAnsi"/>
                <w:kern w:val="24"/>
                <w:sz w:val="16"/>
                <w:szCs w:val="16"/>
              </w:rPr>
            </w:pPr>
            <w:r w:rsidRPr="00E10DB7">
              <w:rPr>
                <w:rFonts w:asciiTheme="minorHAnsi" w:hAnsiTheme="minorHAnsi" w:cstheme="minorHAnsi"/>
                <w:kern w:val="24"/>
                <w:sz w:val="16"/>
                <w:szCs w:val="16"/>
              </w:rPr>
              <w:t>Kostnader inkluderer skatt, med unntak av skatt som blir refundert (f.eks. refusjon av merverdiavgift).</w:t>
            </w:r>
          </w:p>
          <w:p w14:paraId="1F0378B9"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b/>
                <w:bCs/>
                <w:kern w:val="24"/>
                <w:sz w:val="16"/>
                <w:szCs w:val="16"/>
              </w:rPr>
              <w:t>Følgende kostnader er ikke inkludert:</w:t>
            </w:r>
          </w:p>
          <w:p w14:paraId="633B2114" w14:textId="77777777" w:rsidR="00107E4F" w:rsidRPr="00E10DB7" w:rsidRDefault="00107E4F" w:rsidP="003C1BA8">
            <w:pPr>
              <w:pStyle w:val="Listeavsnitt"/>
              <w:numPr>
                <w:ilvl w:val="0"/>
                <w:numId w:val="23"/>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Solgte varer og tjenester</w:t>
            </w:r>
          </w:p>
          <w:p w14:paraId="6E70EE3B" w14:textId="77777777" w:rsidR="00107E4F" w:rsidRPr="00E10DB7" w:rsidRDefault="00107E4F" w:rsidP="003C1BA8">
            <w:pPr>
              <w:pStyle w:val="Listeavsnitt"/>
              <w:numPr>
                <w:ilvl w:val="0"/>
                <w:numId w:val="24"/>
              </w:numPr>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Avskrivninger</w:t>
            </w:r>
          </w:p>
          <w:p w14:paraId="7D7031D6" w14:textId="77777777" w:rsidR="00107E4F" w:rsidRPr="00E10DB7" w:rsidRDefault="00107E4F" w:rsidP="003C1BA8">
            <w:pPr>
              <w:pStyle w:val="Listeavsnitt"/>
              <w:numPr>
                <w:ilvl w:val="0"/>
                <w:numId w:val="25"/>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Operasjonelt industrispesifikt utstyr</w:t>
            </w:r>
          </w:p>
          <w:p w14:paraId="5434C7DE" w14:textId="77777777" w:rsidR="00107E4F" w:rsidRPr="00E10DB7" w:rsidRDefault="00107E4F" w:rsidP="003C1BA8">
            <w:pPr>
              <w:pStyle w:val="Listeavsnitt"/>
              <w:numPr>
                <w:ilvl w:val="0"/>
                <w:numId w:val="25"/>
              </w:numPr>
              <w:tabs>
                <w:tab w:val="clear" w:pos="357"/>
              </w:tabs>
              <w:spacing w:afterLines="60" w:after="144" w:line="256" w:lineRule="auto"/>
              <w:contextualSpacing/>
              <w:rPr>
                <w:rFonts w:asciiTheme="minorHAnsi" w:hAnsiTheme="minorHAnsi" w:cstheme="minorHAnsi"/>
                <w:kern w:val="24"/>
                <w:sz w:val="16"/>
                <w:szCs w:val="16"/>
              </w:rPr>
            </w:pPr>
            <w:r w:rsidRPr="00E10DB7">
              <w:rPr>
                <w:rFonts w:asciiTheme="minorHAnsi" w:hAnsiTheme="minorHAnsi" w:cstheme="minorHAnsi"/>
                <w:kern w:val="24"/>
                <w:sz w:val="16"/>
                <w:szCs w:val="16"/>
              </w:rPr>
              <w:t>Internfakturering og uvanlige engangsallokeringer</w:t>
            </w:r>
          </w:p>
          <w:p w14:paraId="07E4637F" w14:textId="77777777" w:rsidR="00107E4F" w:rsidRPr="00E10DB7" w:rsidRDefault="00107E4F">
            <w:pPr>
              <w:pStyle w:val="NormalWeb"/>
              <w:spacing w:before="60" w:afterLines="60" w:after="144" w:line="256" w:lineRule="auto"/>
              <w:rPr>
                <w:rFonts w:asciiTheme="minorHAnsi" w:hAnsiTheme="minorHAnsi" w:cstheme="minorHAnsi"/>
                <w:kern w:val="24"/>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HF: </w:t>
            </w:r>
            <w:r w:rsidRPr="00E10DB7">
              <w:rPr>
                <w:rFonts w:asciiTheme="minorHAnsi" w:hAnsiTheme="minorHAnsi" w:cstheme="minorHAnsi"/>
                <w:kern w:val="24"/>
                <w:sz w:val="16"/>
                <w:szCs w:val="16"/>
              </w:rPr>
              <w:t xml:space="preserve">Inkluderer kostnader for eget IKT-personell og IKT-løsninger som </w:t>
            </w:r>
            <w:r w:rsidRPr="00E10DB7">
              <w:rPr>
                <w:rFonts w:asciiTheme="minorHAnsi" w:hAnsiTheme="minorHAnsi" w:cstheme="minorHAnsi"/>
                <w:i/>
                <w:iCs/>
                <w:kern w:val="24"/>
                <w:sz w:val="16"/>
                <w:szCs w:val="16"/>
              </w:rPr>
              <w:t>ikke</w:t>
            </w:r>
            <w:r w:rsidRPr="00E10DB7">
              <w:rPr>
                <w:rFonts w:asciiTheme="minorHAnsi" w:hAnsiTheme="minorHAnsi" w:cstheme="minorHAnsi"/>
                <w:kern w:val="24"/>
                <w:sz w:val="16"/>
                <w:szCs w:val="16"/>
              </w:rPr>
              <w:t xml:space="preserve"> leveres av/gjennom IKT-leverandør. (Alle kostnader fra IKT-leverandør kartlegges av IKT-leverandør og det blir derfor duplikater av kostnadene dersom disse også kartlegges i HF)</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IKT-leverandører: </w:t>
            </w:r>
            <w:r w:rsidRPr="00E10DB7">
              <w:rPr>
                <w:rFonts w:asciiTheme="minorHAnsi" w:hAnsiTheme="minorHAnsi" w:cstheme="minorHAnsi"/>
                <w:kern w:val="24"/>
                <w:sz w:val="16"/>
                <w:szCs w:val="16"/>
              </w:rPr>
              <w:t xml:space="preserve">Inkluderer alle driftskostnader knyttet til IKT som oppstår hos IKT-leverandør. </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RHF: </w:t>
            </w:r>
            <w:r w:rsidRPr="00E10DB7">
              <w:rPr>
                <w:rFonts w:asciiTheme="minorHAnsi" w:hAnsiTheme="minorHAnsi" w:cstheme="minorHAnsi"/>
                <w:kern w:val="24"/>
                <w:sz w:val="16"/>
                <w:szCs w:val="16"/>
              </w:rPr>
              <w:t xml:space="preserve">Samler inn kostnader for eget IKT-personell og IKT-løsninger som ikke leveres av/gjennom IKT-leverandør. </w:t>
            </w:r>
          </w:p>
        </w:tc>
      </w:tr>
      <w:tr w:rsidR="00107E4F" w:rsidRPr="00545C02" w14:paraId="7947B779" w14:textId="77777777" w:rsidTr="00557966">
        <w:tc>
          <w:tcPr>
            <w:tcW w:w="2065" w:type="dxa"/>
            <w:vAlign w:val="center"/>
          </w:tcPr>
          <w:p w14:paraId="594E91C4"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IKT-investeringer</w:t>
            </w:r>
          </w:p>
        </w:tc>
        <w:tc>
          <w:tcPr>
            <w:tcW w:w="7337" w:type="dxa"/>
            <w:vAlign w:val="center"/>
          </w:tcPr>
          <w:p w14:paraId="363AE2D2"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kern w:val="24"/>
                <w:sz w:val="16"/>
                <w:szCs w:val="16"/>
              </w:rPr>
              <w:t>Investeringskostnader som er del av det årlige investeringsbudsjettet eller særegne tildelinger. Dette inkluderer investeringer i utvikling av nye applikasjoner eller anskaffelse av ny IKT-infrastruktur eller sluttbrukerutstyr.</w:t>
            </w:r>
          </w:p>
          <w:p w14:paraId="0C1C6B3C"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Investeringer følger</w:t>
            </w:r>
            <w:r w:rsidRPr="00E10DB7">
              <w:rPr>
                <w:rFonts w:asciiTheme="minorHAnsi" w:hAnsiTheme="minorHAnsi" w:cstheme="minorHAnsi"/>
                <w:b/>
                <w:bCs/>
                <w:kern w:val="24"/>
                <w:sz w:val="16"/>
                <w:szCs w:val="16"/>
              </w:rPr>
              <w:t xml:space="preserve"> kontantprinsippet (</w:t>
            </w:r>
            <w:r w:rsidRPr="00E10DB7">
              <w:rPr>
                <w:rFonts w:asciiTheme="minorHAnsi" w:hAnsiTheme="minorHAnsi" w:cstheme="minorHAnsi"/>
                <w:kern w:val="24"/>
                <w:sz w:val="16"/>
                <w:szCs w:val="16"/>
              </w:rPr>
              <w:t>kontantstrømperspektiv), dvs. at avskrivninger ekskluderes fra investeringskostnader. Avskrivninger og nedskrivninger er innsamlet separat (oppgitt som sum av alle avskrivninger/nedskrivninger for perioden).</w:t>
            </w:r>
          </w:p>
          <w:p w14:paraId="394A8136" w14:textId="77777777" w:rsidR="00107E4F" w:rsidRPr="00E10DB7" w:rsidRDefault="00107E4F">
            <w:pPr>
              <w:pStyle w:val="NormalWeb"/>
              <w:spacing w:before="60" w:afterLines="60" w:after="144"/>
              <w:rPr>
                <w:rFonts w:asciiTheme="minorHAnsi" w:hAnsiTheme="minorHAnsi" w:cstheme="minorHAnsi"/>
                <w:kern w:val="24"/>
                <w:sz w:val="16"/>
                <w:szCs w:val="16"/>
              </w:rPr>
            </w:pPr>
            <w:r w:rsidRPr="00E10DB7">
              <w:rPr>
                <w:rFonts w:asciiTheme="minorHAnsi" w:hAnsiTheme="minorHAnsi" w:cstheme="minorHAnsi"/>
                <w:kern w:val="24"/>
                <w:sz w:val="16"/>
                <w:szCs w:val="16"/>
              </w:rPr>
              <w:t>Investeringer inkluderer skatt, med unntak av skatt som blir refundert (f.eks. refusjon av merverdiavgift).</w:t>
            </w:r>
          </w:p>
          <w:p w14:paraId="7A4BD918"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b/>
                <w:bCs/>
                <w:kern w:val="24"/>
                <w:sz w:val="16"/>
                <w:szCs w:val="16"/>
              </w:rPr>
              <w:t>Følgende kostnader er ikke inkludert:</w:t>
            </w:r>
          </w:p>
          <w:p w14:paraId="4AD45DD0" w14:textId="77777777" w:rsidR="00107E4F" w:rsidRPr="00E10DB7" w:rsidRDefault="00107E4F" w:rsidP="003C1BA8">
            <w:pPr>
              <w:pStyle w:val="Listeavsnitt"/>
              <w:numPr>
                <w:ilvl w:val="0"/>
                <w:numId w:val="26"/>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Solgte varer og tjenester</w:t>
            </w:r>
          </w:p>
          <w:p w14:paraId="501FC436" w14:textId="77777777" w:rsidR="00107E4F" w:rsidRPr="00E10DB7" w:rsidRDefault="00107E4F" w:rsidP="003C1BA8">
            <w:pPr>
              <w:pStyle w:val="Listeavsnitt"/>
              <w:numPr>
                <w:ilvl w:val="0"/>
                <w:numId w:val="27"/>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Avskrivninger</w:t>
            </w:r>
          </w:p>
          <w:p w14:paraId="6DB728AD" w14:textId="77777777" w:rsidR="00107E4F" w:rsidRPr="00E10DB7" w:rsidRDefault="00107E4F" w:rsidP="003C1BA8">
            <w:pPr>
              <w:pStyle w:val="Listeavsnitt"/>
              <w:numPr>
                <w:ilvl w:val="0"/>
                <w:numId w:val="28"/>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Operasjonelt industrispesifikt utstyr</w:t>
            </w:r>
          </w:p>
          <w:p w14:paraId="26A0659E" w14:textId="77777777" w:rsidR="00107E4F" w:rsidRPr="00E10DB7" w:rsidRDefault="00107E4F" w:rsidP="003C1BA8">
            <w:pPr>
              <w:pStyle w:val="Listeavsnitt"/>
              <w:numPr>
                <w:ilvl w:val="0"/>
                <w:numId w:val="29"/>
              </w:numPr>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Internfakturering og uvanlige engangsallokeringer</w:t>
            </w:r>
          </w:p>
          <w:p w14:paraId="7267201C" w14:textId="77777777" w:rsidR="00107E4F" w:rsidRPr="00E10DB7" w:rsidRDefault="00107E4F">
            <w:pPr>
              <w:pStyle w:val="NormalWeb"/>
              <w:spacing w:before="60" w:afterLines="60" w:after="144"/>
              <w:rPr>
                <w:rFonts w:asciiTheme="minorHAnsi" w:eastAsiaTheme="minorEastAsia" w:hAnsiTheme="minorHAnsi" w:cstheme="minorHAnsi"/>
                <w:kern w:val="24"/>
                <w:sz w:val="16"/>
                <w:szCs w:val="16"/>
              </w:rPr>
            </w:pPr>
            <w:r w:rsidRPr="00E10DB7">
              <w:rPr>
                <w:rFonts w:asciiTheme="minorHAnsi" w:eastAsiaTheme="minorEastAsia" w:hAnsiTheme="minorHAnsi" w:cstheme="minorHAnsi"/>
                <w:b/>
                <w:kern w:val="24"/>
                <w:sz w:val="16"/>
                <w:szCs w:val="16"/>
              </w:rPr>
              <w:lastRenderedPageBreak/>
              <w:t>Praktisk tilnærming brukt i datainnsamlingen:</w:t>
            </w:r>
            <w:r w:rsidRPr="00E10DB7">
              <w:rPr>
                <w:rFonts w:asciiTheme="minorHAnsi" w:eastAsiaTheme="minorEastAsia" w:hAnsiTheme="minorHAnsi" w:cstheme="minorHAnsi"/>
                <w:kern w:val="24"/>
                <w:sz w:val="16"/>
                <w:szCs w:val="16"/>
              </w:rPr>
              <w:br/>
            </w:r>
            <w:r w:rsidRPr="00E10DB7">
              <w:rPr>
                <w:rFonts w:asciiTheme="minorHAnsi" w:eastAsiaTheme="minorEastAsia" w:hAnsiTheme="minorHAnsi" w:cstheme="minorHAnsi"/>
                <w:b/>
                <w:bCs/>
                <w:kern w:val="24"/>
                <w:sz w:val="16"/>
                <w:szCs w:val="16"/>
              </w:rPr>
              <w:t>For</w:t>
            </w:r>
            <w:r w:rsidRPr="00E10DB7">
              <w:rPr>
                <w:rFonts w:asciiTheme="minorHAnsi" w:eastAsiaTheme="minorEastAsia" w:hAnsiTheme="minorHAnsi" w:cstheme="minorHAnsi"/>
                <w:kern w:val="24"/>
                <w:sz w:val="16"/>
                <w:szCs w:val="16"/>
              </w:rPr>
              <w:t xml:space="preserve"> </w:t>
            </w:r>
            <w:r w:rsidRPr="00E10DB7">
              <w:rPr>
                <w:rFonts w:asciiTheme="minorHAnsi" w:eastAsiaTheme="minorEastAsia" w:hAnsiTheme="minorHAnsi" w:cstheme="minorHAnsi"/>
                <w:b/>
                <w:bCs/>
                <w:kern w:val="24"/>
                <w:sz w:val="16"/>
                <w:szCs w:val="16"/>
              </w:rPr>
              <w:t>HF/RHF</w:t>
            </w:r>
            <w:r w:rsidRPr="00E10DB7">
              <w:rPr>
                <w:rFonts w:asciiTheme="minorHAnsi" w:eastAsiaTheme="minorEastAsia" w:hAnsiTheme="minorHAnsi" w:cstheme="minorHAnsi"/>
                <w:kern w:val="24"/>
                <w:sz w:val="16"/>
                <w:szCs w:val="16"/>
              </w:rPr>
              <w:t>: Eget personell og egne løsninger som utvikles/kjøpes inn i RHF/HF (altså ikke gjennom IKT-leverandøren)</w:t>
            </w:r>
            <w:r w:rsidRPr="00E10DB7">
              <w:rPr>
                <w:rFonts w:asciiTheme="minorHAnsi" w:eastAsiaTheme="minorEastAsia" w:hAnsiTheme="minorHAnsi" w:cstheme="minorHAnsi"/>
                <w:kern w:val="24"/>
                <w:sz w:val="16"/>
                <w:szCs w:val="16"/>
              </w:rPr>
              <w:br/>
            </w:r>
            <w:r w:rsidRPr="00E10DB7">
              <w:rPr>
                <w:rFonts w:asciiTheme="minorHAnsi" w:eastAsiaTheme="minorEastAsia" w:hAnsiTheme="minorHAnsi" w:cstheme="minorHAnsi"/>
                <w:b/>
                <w:bCs/>
                <w:kern w:val="24"/>
                <w:sz w:val="16"/>
                <w:szCs w:val="16"/>
              </w:rPr>
              <w:t>For</w:t>
            </w:r>
            <w:r w:rsidRPr="00E10DB7">
              <w:rPr>
                <w:rFonts w:asciiTheme="minorHAnsi" w:eastAsiaTheme="minorEastAsia" w:hAnsiTheme="minorHAnsi" w:cstheme="minorHAnsi"/>
                <w:kern w:val="24"/>
                <w:sz w:val="16"/>
                <w:szCs w:val="16"/>
              </w:rPr>
              <w:t xml:space="preserve"> </w:t>
            </w:r>
            <w:r w:rsidRPr="00E10DB7">
              <w:rPr>
                <w:rFonts w:asciiTheme="minorHAnsi" w:eastAsiaTheme="minorEastAsia" w:hAnsiTheme="minorHAnsi" w:cstheme="minorHAnsi"/>
                <w:b/>
                <w:bCs/>
                <w:kern w:val="24"/>
                <w:sz w:val="16"/>
                <w:szCs w:val="16"/>
              </w:rPr>
              <w:t>IKT-leverandører</w:t>
            </w:r>
            <w:r w:rsidRPr="00E10DB7">
              <w:rPr>
                <w:rFonts w:asciiTheme="minorHAnsi" w:eastAsiaTheme="minorEastAsia" w:hAnsiTheme="minorHAnsi" w:cstheme="minorHAnsi"/>
                <w:kern w:val="24"/>
                <w:sz w:val="16"/>
                <w:szCs w:val="16"/>
              </w:rPr>
              <w:t>: alle investeringer knyttet til IKT som oppstår hos IKT-leverandør (</w:t>
            </w:r>
            <w:proofErr w:type="spellStart"/>
            <w:r w:rsidRPr="00E10DB7">
              <w:rPr>
                <w:rFonts w:asciiTheme="minorHAnsi" w:eastAsiaTheme="minorEastAsia" w:hAnsiTheme="minorHAnsi" w:cstheme="minorHAnsi"/>
                <w:kern w:val="24"/>
                <w:sz w:val="16"/>
                <w:szCs w:val="16"/>
              </w:rPr>
              <w:t>dvs</w:t>
            </w:r>
            <w:proofErr w:type="spellEnd"/>
            <w:r w:rsidRPr="00E10DB7">
              <w:rPr>
                <w:rFonts w:asciiTheme="minorHAnsi" w:eastAsiaTheme="minorEastAsia" w:hAnsiTheme="minorHAnsi" w:cstheme="minorHAnsi"/>
                <w:kern w:val="24"/>
                <w:sz w:val="16"/>
                <w:szCs w:val="16"/>
              </w:rPr>
              <w:t xml:space="preserve"> ikke investeringer for Nasjonale løsninger)</w:t>
            </w:r>
          </w:p>
        </w:tc>
      </w:tr>
      <w:tr w:rsidR="00107E4F" w:rsidRPr="00545C02" w14:paraId="160DBE8E" w14:textId="77777777" w:rsidTr="00557966">
        <w:trPr>
          <w:trHeight w:val="165"/>
        </w:trPr>
        <w:tc>
          <w:tcPr>
            <w:tcW w:w="2065" w:type="dxa"/>
          </w:tcPr>
          <w:p w14:paraId="4F568CF9" w14:textId="77777777" w:rsidR="00107E4F" w:rsidRPr="00557966" w:rsidRDefault="00107E4F">
            <w:pPr>
              <w:pStyle w:val="NormalWeb"/>
              <w:spacing w:before="60" w:afterLines="60" w:after="144"/>
              <w:rPr>
                <w:b/>
              </w:rPr>
            </w:pPr>
            <w:r w:rsidRPr="00557966">
              <w:rPr>
                <w:rFonts w:asciiTheme="minorHAnsi" w:eastAsiaTheme="minorEastAsia" w:hAnsiTheme="minorHAnsi" w:cstheme="minorHAnsi"/>
                <w:b/>
                <w:kern w:val="24"/>
                <w:sz w:val="16"/>
                <w:szCs w:val="16"/>
              </w:rPr>
              <w:lastRenderedPageBreak/>
              <w:t>IKT-utgifter</w:t>
            </w:r>
          </w:p>
        </w:tc>
        <w:tc>
          <w:tcPr>
            <w:tcW w:w="7337" w:type="dxa"/>
            <w:vAlign w:val="center"/>
          </w:tcPr>
          <w:p w14:paraId="466B1B93" w14:textId="77777777" w:rsidR="00107E4F" w:rsidRPr="00B614C4" w:rsidRDefault="00107E4F">
            <w:pPr>
              <w:pStyle w:val="NormalWeb"/>
              <w:spacing w:before="60" w:afterLines="60" w:after="144"/>
            </w:pPr>
            <w:r w:rsidRPr="00B614C4">
              <w:rPr>
                <w:rFonts w:asciiTheme="minorHAnsi" w:eastAsiaTheme="minorEastAsia" w:hAnsiTheme="minorHAnsi" w:cstheme="minorHAnsi"/>
                <w:bCs/>
                <w:kern w:val="24"/>
                <w:sz w:val="16"/>
                <w:szCs w:val="16"/>
              </w:rPr>
              <w:t>Samlet</w:t>
            </w:r>
            <w:r w:rsidRPr="00B614C4">
              <w:rPr>
                <w:rFonts w:asciiTheme="minorHAnsi" w:eastAsia="Times New Roman" w:hAnsiTheme="minorHAnsi" w:cstheme="minorHAnsi"/>
                <w:kern w:val="24"/>
                <w:sz w:val="16"/>
                <w:szCs w:val="16"/>
                <w:lang w:eastAsia="nb-NO"/>
              </w:rPr>
              <w:t xml:space="preserve"> sum av IKT-driftskostnader og IKT-investeringer</w:t>
            </w:r>
          </w:p>
        </w:tc>
      </w:tr>
      <w:tr w:rsidR="00107E4F" w:rsidRPr="00545C02" w14:paraId="0C2AD2CC" w14:textId="77777777" w:rsidTr="00557966">
        <w:tc>
          <w:tcPr>
            <w:tcW w:w="2065" w:type="dxa"/>
            <w:vAlign w:val="center"/>
          </w:tcPr>
          <w:p w14:paraId="2854137F"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Antall årsverk (FTE) i virksomheten</w:t>
            </w:r>
          </w:p>
        </w:tc>
        <w:tc>
          <w:tcPr>
            <w:tcW w:w="7337" w:type="dxa"/>
            <w:vAlign w:val="center"/>
          </w:tcPr>
          <w:p w14:paraId="3C7CB4AC" w14:textId="77777777" w:rsidR="00107E4F" w:rsidRPr="00B614C4" w:rsidRDefault="00107E4F">
            <w:pPr>
              <w:pStyle w:val="NormalWeb"/>
              <w:spacing w:before="60" w:afterLines="60" w:after="144"/>
              <w:rPr>
                <w:rFonts w:asciiTheme="minorHAnsi" w:eastAsiaTheme="minorEastAsia" w:hAnsiTheme="minorHAnsi" w:cstheme="minorHAnsi"/>
                <w:bCs/>
                <w:kern w:val="24"/>
                <w:sz w:val="16"/>
                <w:szCs w:val="16"/>
              </w:rPr>
            </w:pPr>
            <w:r w:rsidRPr="00B614C4">
              <w:rPr>
                <w:rFonts w:asciiTheme="minorHAnsi" w:eastAsiaTheme="minorEastAsia" w:hAnsiTheme="minorHAnsi" w:cstheme="minorHAnsi"/>
                <w:bCs/>
                <w:kern w:val="24"/>
                <w:sz w:val="16"/>
                <w:szCs w:val="16"/>
              </w:rPr>
              <w:t xml:space="preserve">Antall årsverk (FTE) i virksomheten. Dette inkluderer alle uavhengig av hvor stor andel av IKT-tjenestene de anvender. </w:t>
            </w:r>
            <w:r w:rsidRPr="00B614C4">
              <w:rPr>
                <w:rFonts w:asciiTheme="minorHAnsi" w:eastAsiaTheme="minorEastAsia" w:hAnsiTheme="minorHAnsi" w:cstheme="minorHAnsi"/>
                <w:bCs/>
                <w:kern w:val="24"/>
                <w:sz w:val="16"/>
                <w:szCs w:val="16"/>
              </w:rPr>
              <w:br/>
              <w:t xml:space="preserve">Dette inkluderer </w:t>
            </w:r>
            <w:r w:rsidRPr="00B614C4">
              <w:rPr>
                <w:rFonts w:asciiTheme="minorHAnsi" w:eastAsiaTheme="minorEastAsia" w:hAnsiTheme="minorHAnsi" w:cstheme="minorHAnsi"/>
                <w:bCs/>
                <w:i/>
                <w:iCs/>
                <w:kern w:val="24"/>
                <w:sz w:val="16"/>
                <w:szCs w:val="16"/>
              </w:rPr>
              <w:t>ikke</w:t>
            </w:r>
            <w:r w:rsidRPr="00B614C4">
              <w:rPr>
                <w:rFonts w:asciiTheme="minorHAnsi" w:eastAsiaTheme="minorEastAsia" w:hAnsiTheme="minorHAnsi" w:cstheme="minorHAnsi"/>
                <w:bCs/>
                <w:kern w:val="24"/>
                <w:sz w:val="16"/>
                <w:szCs w:val="16"/>
              </w:rPr>
              <w:t xml:space="preserve"> innleid personell/konsulenter. </w:t>
            </w:r>
          </w:p>
          <w:p w14:paraId="172BF38B"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kern w:val="24"/>
                <w:sz w:val="16"/>
                <w:szCs w:val="16"/>
              </w:rPr>
              <w:br/>
              <w:t>Benytter innrapporterte tall fra årsrapport over antall årsverk.</w:t>
            </w:r>
          </w:p>
        </w:tc>
      </w:tr>
      <w:tr w:rsidR="00107E4F" w:rsidRPr="00545C02" w14:paraId="4E385ECD" w14:textId="77777777" w:rsidTr="00557966">
        <w:tc>
          <w:tcPr>
            <w:tcW w:w="2065" w:type="dxa"/>
            <w:vAlign w:val="center"/>
          </w:tcPr>
          <w:p w14:paraId="61E59188"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Ansatte</w:t>
            </w:r>
          </w:p>
        </w:tc>
        <w:tc>
          <w:tcPr>
            <w:tcW w:w="7337" w:type="dxa"/>
            <w:vAlign w:val="center"/>
          </w:tcPr>
          <w:p w14:paraId="3F0CFBCD"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 xml:space="preserve">Antall brukere av IKT-tjenestene. </w:t>
            </w:r>
            <w:r w:rsidRPr="00B614C4">
              <w:rPr>
                <w:rFonts w:asciiTheme="minorHAnsi" w:eastAsiaTheme="minorEastAsia" w:hAnsiTheme="minorHAnsi" w:cstheme="minorHAnsi"/>
                <w:kern w:val="24"/>
                <w:sz w:val="16"/>
                <w:szCs w:val="16"/>
              </w:rPr>
              <w:br/>
              <w:t xml:space="preserve">Dette inkluderer både internt ansatte og innleide/konsulenter, så lenge de anvender virksomhetens IKT-tjenester med virksomhetens IKT-utstyr og er uavhengig av antall timer brukeren arbeider) </w:t>
            </w:r>
          </w:p>
          <w:p w14:paraId="7024C8CD"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kern w:val="24"/>
                <w:sz w:val="16"/>
                <w:szCs w:val="16"/>
              </w:rPr>
              <w:br/>
              <w:t>Benytter innrapporterte tall fra årsrapport over antall ansatte.</w:t>
            </w:r>
          </w:p>
        </w:tc>
      </w:tr>
      <w:tr w:rsidR="00107E4F" w:rsidRPr="00545C02" w14:paraId="3F87CB18" w14:textId="77777777" w:rsidTr="00557966">
        <w:tc>
          <w:tcPr>
            <w:tcW w:w="2065" w:type="dxa"/>
            <w:vAlign w:val="center"/>
          </w:tcPr>
          <w:p w14:paraId="6399C1E7"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Interne IKT-årsverk</w:t>
            </w:r>
          </w:p>
        </w:tc>
        <w:tc>
          <w:tcPr>
            <w:tcW w:w="7337" w:type="dxa"/>
            <w:vAlign w:val="center"/>
          </w:tcPr>
          <w:p w14:paraId="1CB0962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Årsverk som er fulltids- eller deltidsansatt i IKT-avdeling/funksjon.</w:t>
            </w:r>
          </w:p>
          <w:p w14:paraId="3D7E45B1"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Dette inkluderer </w:t>
            </w:r>
            <w:r w:rsidRPr="00B614C4">
              <w:rPr>
                <w:rFonts w:asciiTheme="minorHAnsi" w:eastAsiaTheme="minorEastAsia" w:hAnsiTheme="minorHAnsi" w:cstheme="minorHAnsi"/>
                <w:i/>
                <w:iCs/>
                <w:kern w:val="24"/>
                <w:sz w:val="16"/>
                <w:szCs w:val="16"/>
              </w:rPr>
              <w:t>ikke</w:t>
            </w:r>
            <w:r w:rsidRPr="00B614C4">
              <w:rPr>
                <w:rFonts w:asciiTheme="minorHAnsi" w:eastAsiaTheme="minorEastAsia" w:hAnsiTheme="minorHAnsi" w:cstheme="minorHAnsi"/>
                <w:kern w:val="24"/>
                <w:sz w:val="16"/>
                <w:szCs w:val="16"/>
              </w:rPr>
              <w:t xml:space="preserve"> innleid personell, konsulenter eller helsepersonell (selv om de har bidratt i IKT-utvikling eller –analyse).  </w:t>
            </w:r>
          </w:p>
          <w:p w14:paraId="30446F1E" w14:textId="77777777" w:rsidR="00107E4F" w:rsidRPr="00B614C4" w:rsidRDefault="00107E4F">
            <w:pPr>
              <w:pStyle w:val="NormalWeb"/>
              <w:spacing w:before="60" w:afterLines="60" w:after="144"/>
              <w:rPr>
                <w:rFonts w:asciiTheme="minorHAnsi" w:eastAsiaTheme="minorEastAsia" w:hAnsiTheme="minorHAnsi" w:cstheme="minorHAnsi"/>
                <w:b/>
                <w:bCs/>
                <w:kern w:val="24"/>
                <w:sz w:val="16"/>
                <w:szCs w:val="16"/>
              </w:rPr>
            </w:pPr>
            <w:r w:rsidRPr="00B614C4">
              <w:rPr>
                <w:rFonts w:asciiTheme="minorHAnsi" w:eastAsiaTheme="minorEastAsia" w:hAnsiTheme="minorHAnsi" w:cstheme="minorHAnsi"/>
                <w:kern w:val="24"/>
                <w:sz w:val="16"/>
                <w:szCs w:val="16"/>
              </w:rPr>
              <w:t>Interne IKT-årsverk oppgis både i total kostnad og antall årsverk (antall utførte timer omregnet til årsverk), hvor 1 årsverk er ekvivalent til 1500 timer per år</w:t>
            </w:r>
            <w:r w:rsidRPr="00B614C4">
              <w:rPr>
                <w:rFonts w:asciiTheme="minorHAnsi" w:eastAsiaTheme="minorEastAsia" w:hAnsiTheme="minorHAnsi" w:cstheme="minorHAnsi"/>
                <w:b/>
                <w:bCs/>
                <w:kern w:val="24"/>
                <w:sz w:val="16"/>
                <w:szCs w:val="16"/>
              </w:rPr>
              <w:t>.</w:t>
            </w:r>
          </w:p>
          <w:p w14:paraId="4C67A73E"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bCs/>
                <w:kern w:val="24"/>
                <w:sz w:val="16"/>
                <w:szCs w:val="16"/>
              </w:rPr>
              <w:br/>
            </w:r>
            <w:r w:rsidRPr="00B614C4">
              <w:rPr>
                <w:rFonts w:asciiTheme="minorHAnsi" w:hAnsiTheme="minorHAnsi" w:cstheme="minorHAnsi"/>
                <w:b/>
                <w:bCs/>
                <w:sz w:val="16"/>
                <w:szCs w:val="16"/>
              </w:rPr>
              <w:t>For RHF/HF:</w:t>
            </w:r>
            <w:r w:rsidRPr="00B614C4">
              <w:rPr>
                <w:rFonts w:asciiTheme="minorHAnsi" w:eastAsiaTheme="minorEastAsia" w:hAnsiTheme="minorHAnsi" w:cstheme="minorHAnsi"/>
                <w:b/>
                <w:bCs/>
                <w:kern w:val="24"/>
                <w:sz w:val="16"/>
                <w:szCs w:val="16"/>
              </w:rPr>
              <w:t xml:space="preserve"> </w:t>
            </w:r>
            <w:r w:rsidRPr="00B614C4">
              <w:rPr>
                <w:rFonts w:asciiTheme="minorHAnsi" w:hAnsiTheme="minorHAnsi" w:cstheme="minorHAnsi"/>
                <w:sz w:val="16"/>
                <w:szCs w:val="16"/>
              </w:rPr>
              <w:t>Alle interne årsverk ansatt i IKT-avdeling/funksjon</w:t>
            </w:r>
            <w:r w:rsidRPr="00B614C4">
              <w:rPr>
                <w:rFonts w:asciiTheme="minorHAnsi" w:eastAsiaTheme="minorEastAsia" w:hAnsiTheme="minorHAnsi" w:cstheme="minorHAnsi"/>
                <w:b/>
                <w:bCs/>
                <w:kern w:val="24"/>
                <w:sz w:val="16"/>
                <w:szCs w:val="16"/>
              </w:rPr>
              <w:br/>
            </w:r>
            <w:r w:rsidRPr="00B614C4">
              <w:rPr>
                <w:rFonts w:asciiTheme="minorHAnsi" w:hAnsiTheme="minorHAnsi" w:cstheme="minorHAnsi"/>
                <w:b/>
                <w:bCs/>
                <w:sz w:val="16"/>
                <w:szCs w:val="16"/>
              </w:rPr>
              <w:t xml:space="preserve">For IKT-leverandører: </w:t>
            </w:r>
            <w:r w:rsidRPr="00B614C4">
              <w:rPr>
                <w:rFonts w:asciiTheme="minorHAnsi" w:hAnsiTheme="minorHAnsi" w:cstheme="minorHAnsi"/>
                <w:sz w:val="16"/>
                <w:szCs w:val="16"/>
              </w:rPr>
              <w:t>Alle interne årsverk i virksomheten (med unntak av personell som jobber med eksempelvis HR og lønn som en tjeneste til regionen (for eksempel gjelder dette Sykehuspartner))</w:t>
            </w:r>
          </w:p>
        </w:tc>
      </w:tr>
      <w:tr w:rsidR="00107E4F" w:rsidRPr="00545C02" w14:paraId="5966725C" w14:textId="77777777" w:rsidTr="00557966">
        <w:tc>
          <w:tcPr>
            <w:tcW w:w="2065" w:type="dxa"/>
            <w:vAlign w:val="center"/>
          </w:tcPr>
          <w:p w14:paraId="57871BD4"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Innleide IKT-årsverk</w:t>
            </w:r>
          </w:p>
        </w:tc>
        <w:tc>
          <w:tcPr>
            <w:tcW w:w="7337" w:type="dxa"/>
            <w:vAlign w:val="center"/>
          </w:tcPr>
          <w:p w14:paraId="7543721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i/>
                <w:iCs/>
                <w:kern w:val="24"/>
                <w:sz w:val="16"/>
                <w:szCs w:val="16"/>
              </w:rPr>
              <w:t xml:space="preserve">Innleie </w:t>
            </w:r>
            <w:r w:rsidRPr="00B614C4">
              <w:rPr>
                <w:rFonts w:asciiTheme="minorHAnsi" w:eastAsiaTheme="minorEastAsia" w:hAnsiTheme="minorHAnsi" w:cstheme="minorHAnsi"/>
                <w:kern w:val="24"/>
                <w:sz w:val="16"/>
                <w:szCs w:val="16"/>
              </w:rPr>
              <w:t>(konsulenter eller selvstendig næringsdrivende) som supplerer/bistår interne ansatte med IKT-relatert arbeid.</w:t>
            </w:r>
          </w:p>
          <w:p w14:paraId="377E14DC"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Innleide IKT-årsverk jobber typisk sammen med interne årsverk og er under ledelse av virksomheten. Dette inkluderer </w:t>
            </w:r>
            <w:r w:rsidRPr="00B614C4">
              <w:rPr>
                <w:rFonts w:asciiTheme="minorHAnsi" w:eastAsiaTheme="minorEastAsia" w:hAnsiTheme="minorHAnsi" w:cstheme="minorHAnsi"/>
                <w:i/>
                <w:iCs/>
                <w:kern w:val="24"/>
                <w:sz w:val="16"/>
                <w:szCs w:val="16"/>
              </w:rPr>
              <w:t>ikke</w:t>
            </w:r>
            <w:r w:rsidRPr="00B614C4">
              <w:rPr>
                <w:rFonts w:asciiTheme="minorHAnsi" w:eastAsiaTheme="minorEastAsia" w:hAnsiTheme="minorHAnsi" w:cstheme="minorHAnsi"/>
                <w:kern w:val="24"/>
                <w:sz w:val="16"/>
                <w:szCs w:val="16"/>
              </w:rPr>
              <w:t xml:space="preserve"> utsatte tjenester, hvor eksterne tar fullt ansvar for å levere en tjeneste til virksomheten. </w:t>
            </w:r>
          </w:p>
          <w:p w14:paraId="7AF310AA"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Innleide IKT-årsverk oppgis både i total kostnad og antall årsverk (antall utførte timer omregnet til årsverk), hvor 1 årsverk er ekvivalent til 1550 timer per år. </w:t>
            </w:r>
          </w:p>
          <w:p w14:paraId="59D3344E"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 xml:space="preserve">NB: Skille mellom konsulenter som kjøpes inn som del av en tjenesteleveranse (slik som utvikling av </w:t>
            </w:r>
            <w:proofErr w:type="spellStart"/>
            <w:r w:rsidRPr="00B614C4">
              <w:rPr>
                <w:rFonts w:asciiTheme="minorHAnsi" w:eastAsiaTheme="minorEastAsia" w:hAnsiTheme="minorHAnsi" w:cstheme="minorHAnsi"/>
                <w:kern w:val="24"/>
                <w:sz w:val="16"/>
                <w:szCs w:val="16"/>
              </w:rPr>
              <w:t>Dips</w:t>
            </w:r>
            <w:proofErr w:type="spellEnd"/>
            <w:r w:rsidRPr="00B614C4">
              <w:rPr>
                <w:rFonts w:asciiTheme="minorHAnsi" w:eastAsiaTheme="minorEastAsia" w:hAnsiTheme="minorHAnsi" w:cstheme="minorHAnsi"/>
                <w:kern w:val="24"/>
                <w:sz w:val="16"/>
                <w:szCs w:val="16"/>
              </w:rPr>
              <w:t xml:space="preserve"> - som her ikke klassifiseres som </w:t>
            </w:r>
            <w:proofErr w:type="gramStart"/>
            <w:r w:rsidRPr="00B614C4">
              <w:rPr>
                <w:rFonts w:asciiTheme="minorHAnsi" w:eastAsiaTheme="minorEastAsia" w:hAnsiTheme="minorHAnsi" w:cstheme="minorHAnsi"/>
                <w:kern w:val="24"/>
                <w:sz w:val="16"/>
                <w:szCs w:val="16"/>
              </w:rPr>
              <w:t>personell</w:t>
            </w:r>
            <w:proofErr w:type="gramEnd"/>
            <w:r w:rsidRPr="00B614C4">
              <w:rPr>
                <w:rFonts w:asciiTheme="minorHAnsi" w:eastAsiaTheme="minorEastAsia" w:hAnsiTheme="minorHAnsi" w:cstheme="minorHAnsi"/>
                <w:kern w:val="24"/>
                <w:sz w:val="16"/>
                <w:szCs w:val="16"/>
              </w:rPr>
              <w:t xml:space="preserve"> men som utsatte tjenester under applikasjonsforvaltning/applikasjonsutvikling). En overordnet føring av hva som er konsulentkjøp og ikke tjenesteleveranse kan være der hvor virksomheten </w:t>
            </w:r>
            <w:r w:rsidRPr="00B614C4">
              <w:rPr>
                <w:rFonts w:asciiTheme="minorHAnsi" w:eastAsiaTheme="minorEastAsia" w:hAnsiTheme="minorHAnsi" w:cstheme="minorHAnsi"/>
                <w:i/>
                <w:iCs/>
                <w:kern w:val="24"/>
                <w:sz w:val="16"/>
                <w:szCs w:val="16"/>
              </w:rPr>
              <w:t xml:space="preserve">velger </w:t>
            </w:r>
            <w:r w:rsidRPr="00B614C4">
              <w:rPr>
                <w:rFonts w:asciiTheme="minorHAnsi" w:eastAsiaTheme="minorEastAsia" w:hAnsiTheme="minorHAnsi" w:cstheme="minorHAnsi"/>
                <w:kern w:val="24"/>
                <w:sz w:val="16"/>
                <w:szCs w:val="16"/>
              </w:rPr>
              <w:t>å kjøpe konsulent.</w:t>
            </w:r>
          </w:p>
          <w:p w14:paraId="168A7991"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kern w:val="24"/>
                <w:sz w:val="16"/>
                <w:szCs w:val="16"/>
              </w:rPr>
              <w:br/>
            </w:r>
            <w:r w:rsidRPr="00B614C4">
              <w:rPr>
                <w:rFonts w:asciiTheme="minorHAnsi" w:hAnsiTheme="minorHAnsi" w:cstheme="minorHAnsi"/>
                <w:sz w:val="16"/>
                <w:szCs w:val="16"/>
              </w:rPr>
              <w:t>Der hvor antall timer for innleide årsverk ikke er kjent kan et timeantall estimeres ved å dele beløpet for konsulentkjøpet med en gjennomsnittlig timepris for innleide årsverk.</w:t>
            </w:r>
            <w:r w:rsidRPr="00B614C4">
              <w:rPr>
                <w:rFonts w:asciiTheme="minorHAnsi" w:eastAsiaTheme="minorEastAsia" w:hAnsiTheme="minorHAnsi" w:cstheme="minorHAnsi"/>
                <w:kern w:val="24"/>
                <w:sz w:val="16"/>
                <w:szCs w:val="16"/>
              </w:rPr>
              <w:br/>
            </w:r>
            <w:r w:rsidRPr="00B614C4">
              <w:rPr>
                <w:rFonts w:asciiTheme="minorHAnsi" w:hAnsiTheme="minorHAnsi" w:cstheme="minorHAnsi"/>
                <w:b/>
                <w:bCs/>
                <w:sz w:val="16"/>
                <w:szCs w:val="16"/>
              </w:rPr>
              <w:t>For RHF/HF:</w:t>
            </w:r>
            <w:r w:rsidRPr="00B614C4">
              <w:rPr>
                <w:rFonts w:asciiTheme="minorHAnsi" w:eastAsiaTheme="minorEastAsia" w:hAnsiTheme="minorHAnsi" w:cstheme="minorHAnsi"/>
                <w:kern w:val="24"/>
                <w:sz w:val="16"/>
                <w:szCs w:val="16"/>
              </w:rPr>
              <w:t xml:space="preserve"> </w:t>
            </w:r>
            <w:r w:rsidRPr="00B614C4">
              <w:rPr>
                <w:rFonts w:asciiTheme="minorHAnsi" w:hAnsiTheme="minorHAnsi" w:cstheme="minorHAnsi"/>
                <w:sz w:val="16"/>
                <w:szCs w:val="16"/>
              </w:rPr>
              <w:t>Alle innleide årsverk for å støtte IKT-avdeling/funksjon.</w:t>
            </w:r>
            <w:r w:rsidRPr="00B614C4">
              <w:rPr>
                <w:rFonts w:asciiTheme="minorHAnsi" w:eastAsiaTheme="minorEastAsia" w:hAnsiTheme="minorHAnsi" w:cstheme="minorHAnsi"/>
                <w:kern w:val="24"/>
                <w:sz w:val="16"/>
                <w:szCs w:val="16"/>
              </w:rPr>
              <w:br/>
            </w:r>
            <w:r w:rsidRPr="00B614C4">
              <w:rPr>
                <w:rFonts w:asciiTheme="minorHAnsi" w:hAnsiTheme="minorHAnsi" w:cstheme="minorHAnsi"/>
                <w:b/>
                <w:bCs/>
                <w:sz w:val="16"/>
                <w:szCs w:val="16"/>
              </w:rPr>
              <w:t xml:space="preserve">For IKT-leverandører: </w:t>
            </w:r>
            <w:r w:rsidRPr="00B614C4">
              <w:rPr>
                <w:rFonts w:asciiTheme="minorHAnsi" w:hAnsiTheme="minorHAnsi" w:cstheme="minorHAnsi"/>
                <w:sz w:val="16"/>
                <w:szCs w:val="16"/>
              </w:rPr>
              <w:t>Alle innleide årsverk i virksomheten (med unntak av personell som jobber med eksempelvis HR og Lønn som en tjeneste til regionen (for eksempel gjelder dette Sykehuspartner)).</w:t>
            </w:r>
          </w:p>
        </w:tc>
      </w:tr>
      <w:tr w:rsidR="00107E4F" w:rsidRPr="00545C02" w14:paraId="068F721F" w14:textId="77777777" w:rsidTr="00557966">
        <w:tc>
          <w:tcPr>
            <w:tcW w:w="2065" w:type="dxa"/>
            <w:vAlign w:val="center"/>
          </w:tcPr>
          <w:p w14:paraId="4A3E2696"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Øvrige årsverk frigjort til IKT</w:t>
            </w:r>
          </w:p>
        </w:tc>
        <w:tc>
          <w:tcPr>
            <w:tcW w:w="7337" w:type="dxa"/>
            <w:vAlign w:val="center"/>
          </w:tcPr>
          <w:p w14:paraId="4D5B294D"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Årsverk som bidrar inn i IKT oppdrag/leveranser, men som ikke er ansatt i IKT-avdeling. </w:t>
            </w:r>
            <w:r w:rsidRPr="00B614C4">
              <w:rPr>
                <w:rFonts w:asciiTheme="minorHAnsi" w:eastAsiaTheme="minorEastAsia" w:hAnsiTheme="minorHAnsi" w:cstheme="minorHAnsi"/>
                <w:kern w:val="24"/>
                <w:sz w:val="16"/>
                <w:szCs w:val="16"/>
              </w:rPr>
              <w:br/>
              <w:t>Dette er klinikere eller andre ikke-IKT personell, frikjøpt fra foretak inn i IKT-prosjekter.</w:t>
            </w:r>
          </w:p>
          <w:p w14:paraId="3D4C3C86"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Interne årsverk fra andre oppgis både i total kostnad og antall årsverk (antall utførte timer omregnet til årsverk), hvor 1 årsverk er ekvivalent til 1500 timer per år.</w:t>
            </w:r>
          </w:p>
          <w:p w14:paraId="30BABA72"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kern w:val="24"/>
                <w:sz w:val="16"/>
                <w:szCs w:val="16"/>
              </w:rPr>
              <w:br/>
            </w:r>
            <w:r w:rsidRPr="00B614C4">
              <w:rPr>
                <w:rFonts w:asciiTheme="minorHAnsi" w:eastAsiaTheme="minorEastAsia" w:hAnsiTheme="minorHAnsi" w:cstheme="minorHAnsi"/>
                <w:kern w:val="24"/>
                <w:sz w:val="16"/>
                <w:szCs w:val="16"/>
              </w:rPr>
              <w:t>Frigjorte årsverk avgrenses til</w:t>
            </w:r>
            <w:r w:rsidRPr="00B614C4">
              <w:rPr>
                <w:rFonts w:asciiTheme="minorHAnsi" w:eastAsiaTheme="minorEastAsia" w:hAnsiTheme="minorHAnsi" w:cstheme="minorHAnsi"/>
                <w:b/>
                <w:kern w:val="24"/>
                <w:sz w:val="16"/>
                <w:szCs w:val="16"/>
              </w:rPr>
              <w:t xml:space="preserve"> </w:t>
            </w:r>
            <w:r w:rsidRPr="00B614C4">
              <w:rPr>
                <w:rFonts w:asciiTheme="minorHAnsi" w:hAnsiTheme="minorHAnsi" w:cstheme="minorHAnsi"/>
                <w:sz w:val="16"/>
                <w:szCs w:val="16"/>
              </w:rPr>
              <w:t xml:space="preserve">frikjøpte ressurser til IKT-prosjekter. </w:t>
            </w:r>
            <w:proofErr w:type="spellStart"/>
            <w:r w:rsidRPr="00B614C4">
              <w:rPr>
                <w:rFonts w:asciiTheme="minorHAnsi" w:hAnsiTheme="minorHAnsi" w:cstheme="minorHAnsi"/>
                <w:sz w:val="16"/>
                <w:szCs w:val="16"/>
              </w:rPr>
              <w:t>Dvs</w:t>
            </w:r>
            <w:proofErr w:type="spellEnd"/>
            <w:r w:rsidRPr="00B614C4">
              <w:rPr>
                <w:rFonts w:asciiTheme="minorHAnsi" w:hAnsiTheme="minorHAnsi" w:cstheme="minorHAnsi"/>
                <w:sz w:val="16"/>
                <w:szCs w:val="16"/>
              </w:rPr>
              <w:t xml:space="preserve"> at superbrukere, systemeiere, kursholdere og øvrige ressurser i klinikkene som i en eller annen form arbeider med IKT, kun inngår dersom de er frikjøpt til IKT-prosjekter.</w:t>
            </w:r>
            <w:r w:rsidRPr="00B614C4">
              <w:rPr>
                <w:rFonts w:asciiTheme="minorHAnsi" w:hAnsiTheme="minorHAnsi" w:cstheme="minorHAnsi"/>
                <w:sz w:val="16"/>
                <w:szCs w:val="16"/>
              </w:rPr>
              <w:br/>
            </w:r>
            <w:r w:rsidRPr="00B614C4">
              <w:rPr>
                <w:rFonts w:asciiTheme="minorHAnsi" w:hAnsiTheme="minorHAnsi" w:cstheme="minorHAnsi"/>
                <w:sz w:val="16"/>
                <w:szCs w:val="16"/>
              </w:rPr>
              <w:lastRenderedPageBreak/>
              <w:t>For helseregioner som ikke opererer med frikjøp av ressurser må det estimeres et antall og kostnad som knyttes til denne type arbeid.</w:t>
            </w:r>
          </w:p>
        </w:tc>
      </w:tr>
      <w:tr w:rsidR="00107E4F" w:rsidRPr="00545C02" w14:paraId="0E5140EA" w14:textId="77777777" w:rsidTr="00557966">
        <w:tc>
          <w:tcPr>
            <w:tcW w:w="2065" w:type="dxa"/>
            <w:vAlign w:val="center"/>
          </w:tcPr>
          <w:p w14:paraId="4819C669"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hAnsiTheme="minorHAnsi" w:cstheme="minorHAnsi"/>
                <w:b/>
                <w:sz w:val="16"/>
                <w:szCs w:val="16"/>
              </w:rPr>
              <w:lastRenderedPageBreak/>
              <w:t>IKT-ressurskategori</w:t>
            </w:r>
          </w:p>
        </w:tc>
        <w:tc>
          <w:tcPr>
            <w:tcW w:w="7337" w:type="dxa"/>
            <w:vAlign w:val="center"/>
          </w:tcPr>
          <w:p w14:paraId="1FDD77F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hAnsiTheme="minorHAnsi" w:cstheme="minorHAnsi"/>
                <w:sz w:val="16"/>
                <w:szCs w:val="16"/>
              </w:rPr>
              <w:t>Fellesbetegnelse for Hardware, Software (programvare), Personell, Utsatte tjenester og skytjenester</w:t>
            </w:r>
          </w:p>
        </w:tc>
      </w:tr>
      <w:tr w:rsidR="00107E4F" w:rsidRPr="00545C02" w14:paraId="3D40D865" w14:textId="77777777" w:rsidTr="00557966">
        <w:tc>
          <w:tcPr>
            <w:tcW w:w="2065" w:type="dxa"/>
            <w:vAlign w:val="center"/>
          </w:tcPr>
          <w:p w14:paraId="5E340B3A"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Hardware (Utstyr)</w:t>
            </w:r>
          </w:p>
        </w:tc>
        <w:tc>
          <w:tcPr>
            <w:tcW w:w="7337" w:type="dxa"/>
            <w:vAlign w:val="center"/>
          </w:tcPr>
          <w:p w14:paraId="0D9F8F15"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bCs/>
                <w:kern w:val="24"/>
                <w:sz w:val="16"/>
                <w:szCs w:val="16"/>
              </w:rPr>
              <w:t xml:space="preserve">Inkluderer alle kostnader til fysisk utstyr som anses som generelt IKT-utstyr. Det inkluderer </w:t>
            </w:r>
            <w:r w:rsidRPr="00B614C4">
              <w:rPr>
                <w:rFonts w:asciiTheme="minorHAnsi" w:hAnsiTheme="minorHAnsi" w:cstheme="minorHAnsi"/>
                <w:bCs/>
                <w:i/>
                <w:iCs/>
                <w:kern w:val="24"/>
                <w:sz w:val="16"/>
                <w:szCs w:val="16"/>
              </w:rPr>
              <w:t>ikke</w:t>
            </w:r>
            <w:r w:rsidRPr="00B614C4">
              <w:rPr>
                <w:rFonts w:asciiTheme="minorHAnsi" w:hAnsiTheme="minorHAnsi" w:cstheme="minorHAnsi"/>
                <w:bCs/>
                <w:kern w:val="24"/>
                <w:sz w:val="16"/>
                <w:szCs w:val="16"/>
              </w:rPr>
              <w:t xml:space="preserve"> operasjonelt og industrispesifikt utstyr som f.eks. produksjonsteknologi eller medisinsk-teknisk utstyr (MTU). </w:t>
            </w:r>
          </w:p>
        </w:tc>
      </w:tr>
      <w:tr w:rsidR="00107E4F" w:rsidRPr="00545C02" w14:paraId="430AB175" w14:textId="77777777" w:rsidTr="00557966">
        <w:tc>
          <w:tcPr>
            <w:tcW w:w="2065" w:type="dxa"/>
            <w:vAlign w:val="center"/>
          </w:tcPr>
          <w:p w14:paraId="7BBA6445"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Software (Programvare)</w:t>
            </w:r>
          </w:p>
        </w:tc>
        <w:tc>
          <w:tcPr>
            <w:tcW w:w="7337" w:type="dxa"/>
            <w:vAlign w:val="center"/>
          </w:tcPr>
          <w:p w14:paraId="38A59325"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Anskaffelses-, lisens- og utviklingskostnader tilknyttet hyllevare eller egenutviklet programvare. </w:t>
            </w:r>
          </w:p>
        </w:tc>
      </w:tr>
      <w:tr w:rsidR="00107E4F" w:rsidRPr="00545C02" w14:paraId="379B506B" w14:textId="77777777" w:rsidTr="00557966">
        <w:tc>
          <w:tcPr>
            <w:tcW w:w="2065" w:type="dxa"/>
            <w:vAlign w:val="center"/>
          </w:tcPr>
          <w:p w14:paraId="0C46A621"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Personell</w:t>
            </w:r>
          </w:p>
        </w:tc>
        <w:tc>
          <w:tcPr>
            <w:tcW w:w="7337" w:type="dxa"/>
            <w:vAlign w:val="center"/>
          </w:tcPr>
          <w:p w14:paraId="0D60048D"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Lønns- og overtidskostnader, goder (inkl. feriepenger, pensjon, fordelsavtaler, forsikringer </w:t>
            </w:r>
            <w:proofErr w:type="spellStart"/>
            <w:r w:rsidRPr="00B614C4">
              <w:rPr>
                <w:rFonts w:asciiTheme="minorHAnsi" w:hAnsiTheme="minorHAnsi" w:cstheme="minorHAnsi"/>
                <w:kern w:val="24"/>
                <w:sz w:val="16"/>
                <w:szCs w:val="16"/>
              </w:rPr>
              <w:t>o.l</w:t>
            </w:r>
            <w:proofErr w:type="spellEnd"/>
            <w:r w:rsidRPr="00B614C4">
              <w:rPr>
                <w:rFonts w:asciiTheme="minorHAnsi" w:hAnsiTheme="minorHAnsi" w:cstheme="minorHAnsi"/>
                <w:kern w:val="24"/>
                <w:sz w:val="16"/>
                <w:szCs w:val="16"/>
              </w:rPr>
              <w:t xml:space="preserve">), arbeidsgiveravgift, reise, opplæring og kurs og fasilitetskostnader (eksempelvis husleie, møbler, strøm, vaktavtaler, eiendomsskatt o.l.). </w:t>
            </w:r>
            <w:r w:rsidRPr="00B614C4">
              <w:rPr>
                <w:rFonts w:asciiTheme="minorHAnsi" w:eastAsiaTheme="minorEastAsia" w:hAnsiTheme="minorHAnsi" w:cstheme="minorHAnsi"/>
                <w:kern w:val="24"/>
                <w:sz w:val="16"/>
                <w:szCs w:val="16"/>
              </w:rPr>
              <w:t>For innleid personell inkluderes all kompensasjon som betales til individet eller konsulentfirmaet.</w:t>
            </w:r>
          </w:p>
        </w:tc>
      </w:tr>
      <w:tr w:rsidR="00107E4F" w:rsidRPr="00545C02" w14:paraId="603EC3FB" w14:textId="77777777" w:rsidTr="00557966">
        <w:tc>
          <w:tcPr>
            <w:tcW w:w="2065" w:type="dxa"/>
            <w:tcBorders>
              <w:bottom w:val="single" w:sz="4" w:space="0" w:color="auto"/>
            </w:tcBorders>
            <w:vAlign w:val="center"/>
          </w:tcPr>
          <w:p w14:paraId="5C68DF61"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Utsatte (</w:t>
            </w:r>
            <w:proofErr w:type="spellStart"/>
            <w:r w:rsidRPr="00557966">
              <w:rPr>
                <w:rFonts w:asciiTheme="minorHAnsi" w:eastAsiaTheme="minorEastAsia" w:hAnsiTheme="minorHAnsi" w:cstheme="minorHAnsi"/>
                <w:b/>
                <w:kern w:val="24"/>
                <w:sz w:val="16"/>
                <w:szCs w:val="16"/>
              </w:rPr>
              <w:t>outsourcede</w:t>
            </w:r>
            <w:proofErr w:type="spellEnd"/>
            <w:r w:rsidRPr="00557966">
              <w:rPr>
                <w:rFonts w:asciiTheme="minorHAnsi" w:eastAsiaTheme="minorEastAsia" w:hAnsiTheme="minorHAnsi" w:cstheme="minorHAnsi"/>
                <w:b/>
                <w:kern w:val="24"/>
                <w:sz w:val="16"/>
                <w:szCs w:val="16"/>
              </w:rPr>
              <w:t>) tjenester</w:t>
            </w:r>
          </w:p>
        </w:tc>
        <w:tc>
          <w:tcPr>
            <w:tcW w:w="7337" w:type="dxa"/>
            <w:vAlign w:val="center"/>
          </w:tcPr>
          <w:p w14:paraId="3E4E6328"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Lisens- og </w:t>
            </w:r>
            <w:proofErr w:type="spellStart"/>
            <w:r w:rsidRPr="00B614C4">
              <w:rPr>
                <w:rFonts w:asciiTheme="minorHAnsi" w:hAnsiTheme="minorHAnsi" w:cstheme="minorHAnsi"/>
                <w:kern w:val="24"/>
                <w:sz w:val="16"/>
                <w:szCs w:val="16"/>
              </w:rPr>
              <w:t>kontraktskostnader</w:t>
            </w:r>
            <w:proofErr w:type="spellEnd"/>
            <w:r w:rsidRPr="00B614C4">
              <w:rPr>
                <w:rFonts w:asciiTheme="minorHAnsi" w:hAnsiTheme="minorHAnsi" w:cstheme="minorHAnsi"/>
                <w:kern w:val="24"/>
                <w:sz w:val="16"/>
                <w:szCs w:val="16"/>
              </w:rPr>
              <w:t xml:space="preserve"> til tredjeparter som tar fullt operasjonelt ansvar for IKT-tjenester levert til virksomheten. Tjenesteutsatte private skytjenester inkluderes her. </w:t>
            </w:r>
          </w:p>
        </w:tc>
      </w:tr>
      <w:tr w:rsidR="00107E4F" w:rsidRPr="00545C02" w14:paraId="7646D4E2" w14:textId="77777777" w:rsidTr="00557966">
        <w:tc>
          <w:tcPr>
            <w:tcW w:w="2065" w:type="dxa"/>
            <w:tcBorders>
              <w:bottom w:val="nil"/>
            </w:tcBorders>
            <w:vAlign w:val="center"/>
          </w:tcPr>
          <w:p w14:paraId="62F154D7"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Allmenne skytjenester (</w:t>
            </w:r>
            <w:proofErr w:type="spellStart"/>
            <w:r w:rsidRPr="00557966">
              <w:rPr>
                <w:rFonts w:asciiTheme="minorHAnsi" w:hAnsiTheme="minorHAnsi" w:cstheme="minorHAnsi"/>
                <w:b/>
                <w:kern w:val="24"/>
                <w:sz w:val="16"/>
                <w:szCs w:val="16"/>
              </w:rPr>
              <w:t>public</w:t>
            </w:r>
            <w:proofErr w:type="spellEnd"/>
            <w:r w:rsidRPr="00557966">
              <w:rPr>
                <w:rFonts w:asciiTheme="minorHAnsi" w:hAnsiTheme="minorHAnsi" w:cstheme="minorHAnsi"/>
                <w:b/>
                <w:kern w:val="24"/>
                <w:sz w:val="16"/>
                <w:szCs w:val="16"/>
              </w:rPr>
              <w:t xml:space="preserve"> </w:t>
            </w:r>
            <w:proofErr w:type="spellStart"/>
            <w:r w:rsidRPr="00557966">
              <w:rPr>
                <w:rFonts w:asciiTheme="minorHAnsi" w:hAnsiTheme="minorHAnsi" w:cstheme="minorHAnsi"/>
                <w:b/>
                <w:kern w:val="24"/>
                <w:sz w:val="16"/>
                <w:szCs w:val="16"/>
              </w:rPr>
              <w:t>cloud</w:t>
            </w:r>
            <w:proofErr w:type="spellEnd"/>
            <w:r w:rsidRPr="00557966">
              <w:rPr>
                <w:rFonts w:asciiTheme="minorHAnsi" w:hAnsiTheme="minorHAnsi" w:cstheme="minorHAnsi"/>
                <w:b/>
                <w:kern w:val="24"/>
                <w:sz w:val="16"/>
                <w:szCs w:val="16"/>
              </w:rPr>
              <w:t>) </w:t>
            </w:r>
          </w:p>
        </w:tc>
        <w:tc>
          <w:tcPr>
            <w:tcW w:w="7337" w:type="dxa"/>
            <w:vAlign w:val="center"/>
          </w:tcPr>
          <w:p w14:paraId="5F50A215" w14:textId="77777777" w:rsidR="00107E4F" w:rsidRPr="00B614C4" w:rsidRDefault="00107E4F">
            <w:pPr>
              <w:pStyle w:val="NormalWeb"/>
              <w:spacing w:before="60" w:afterLines="40" w:after="96" w:line="257" w:lineRule="auto"/>
              <w:rPr>
                <w:rFonts w:asciiTheme="minorHAnsi" w:hAnsiTheme="minorHAnsi" w:cstheme="minorHAnsi"/>
                <w:kern w:val="24"/>
                <w:sz w:val="16"/>
                <w:szCs w:val="16"/>
              </w:rPr>
            </w:pPr>
            <w:r w:rsidRPr="00B614C4">
              <w:rPr>
                <w:rFonts w:asciiTheme="minorHAnsi" w:hAnsiTheme="minorHAnsi" w:cstheme="minorHAnsi"/>
                <w:kern w:val="24"/>
                <w:sz w:val="16"/>
                <w:szCs w:val="16"/>
              </w:rPr>
              <w:t xml:space="preserve">Alle kostnader tilknyttet allmenne skytjenester. Private skytjenester (skytjenester levert fra eget datasenter) inkluderes ikke, men fordeles på aktuell IKT-ressurskategori (f.eks. </w:t>
            </w:r>
            <w:proofErr w:type="gramStart"/>
            <w:r w:rsidRPr="00B614C4">
              <w:rPr>
                <w:rFonts w:asciiTheme="minorHAnsi" w:hAnsiTheme="minorHAnsi" w:cstheme="minorHAnsi"/>
                <w:kern w:val="24"/>
                <w:sz w:val="16"/>
                <w:szCs w:val="16"/>
              </w:rPr>
              <w:t>hardware</w:t>
            </w:r>
            <w:proofErr w:type="gramEnd"/>
            <w:r w:rsidRPr="00B614C4">
              <w:rPr>
                <w:rFonts w:asciiTheme="minorHAnsi" w:hAnsiTheme="minorHAnsi" w:cstheme="minorHAnsi"/>
                <w:kern w:val="24"/>
                <w:sz w:val="16"/>
                <w:szCs w:val="16"/>
              </w:rPr>
              <w:t>, software og personellkostnader).</w:t>
            </w:r>
          </w:p>
          <w:p w14:paraId="3366E1A3"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SaaS</w:t>
            </w:r>
            <w:proofErr w:type="spellEnd"/>
            <w:r w:rsidRPr="00B614C4">
              <w:rPr>
                <w:rFonts w:asciiTheme="minorHAnsi" w:hAnsiTheme="minorHAnsi" w:cstheme="minorHAnsi"/>
                <w:b/>
                <w:kern w:val="24"/>
                <w:sz w:val="16"/>
                <w:szCs w:val="16"/>
              </w:rPr>
              <w:t xml:space="preserve">: </w:t>
            </w:r>
            <w:r w:rsidRPr="00B614C4">
              <w:rPr>
                <w:rFonts w:asciiTheme="minorHAnsi" w:hAnsiTheme="minorHAnsi" w:cstheme="minorHAnsi"/>
                <w:kern w:val="24"/>
                <w:sz w:val="16"/>
                <w:szCs w:val="16"/>
              </w:rPr>
              <w:t xml:space="preserve">Programvare som tjeneste (Software as a Service - </w:t>
            </w:r>
            <w:proofErr w:type="spellStart"/>
            <w:r w:rsidRPr="00B614C4">
              <w:rPr>
                <w:rFonts w:asciiTheme="minorHAnsi" w:hAnsiTheme="minorHAnsi" w:cstheme="minorHAnsi"/>
                <w:kern w:val="24"/>
                <w:sz w:val="16"/>
                <w:szCs w:val="16"/>
              </w:rPr>
              <w:t>SaaS</w:t>
            </w:r>
            <w:proofErr w:type="spellEnd"/>
            <w:r w:rsidRPr="00B614C4">
              <w:rPr>
                <w:rFonts w:asciiTheme="minorHAnsi" w:hAnsiTheme="minorHAnsi" w:cstheme="minorHAnsi"/>
                <w:kern w:val="24"/>
                <w:sz w:val="16"/>
                <w:szCs w:val="16"/>
              </w:rPr>
              <w:t>), som er en modell for leveranse over et nettverk hvor kunden benytter leverandørens applikasjon(er) på en nettsky-infrastruktur. Kunden har i utgangspunktet ikke kontroll over verken applikasjoner, nettverk, servere, operativsystemer eller lagringsmuligheter. Dette inkluder kun tjenester som leveres fra en tredjepart som en tjeneste via en abonnementsmodell.</w:t>
            </w:r>
          </w:p>
          <w:p w14:paraId="0CEAF42C"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IaaS</w:t>
            </w:r>
            <w:proofErr w:type="spellEnd"/>
            <w:r w:rsidRPr="00B614C4">
              <w:rPr>
                <w:rFonts w:asciiTheme="minorHAnsi" w:hAnsiTheme="minorHAnsi" w:cstheme="minorHAnsi"/>
                <w:b/>
                <w:kern w:val="24"/>
                <w:sz w:val="16"/>
                <w:szCs w:val="16"/>
              </w:rPr>
              <w:t>:</w:t>
            </w:r>
            <w:r w:rsidRPr="00B614C4">
              <w:rPr>
                <w:rFonts w:asciiTheme="minorHAnsi" w:hAnsiTheme="minorHAnsi" w:cstheme="minorHAnsi"/>
                <w:sz w:val="16"/>
                <w:szCs w:val="16"/>
              </w:rPr>
              <w:t xml:space="preserve"> </w:t>
            </w:r>
            <w:r w:rsidRPr="00B614C4">
              <w:rPr>
                <w:rFonts w:asciiTheme="minorHAnsi" w:hAnsiTheme="minorHAnsi" w:cstheme="minorHAnsi"/>
                <w:kern w:val="24"/>
                <w:sz w:val="16"/>
                <w:szCs w:val="16"/>
              </w:rPr>
              <w:t>Infrastruktur som tjeneste (</w:t>
            </w:r>
            <w:proofErr w:type="spellStart"/>
            <w:r w:rsidRPr="00B614C4">
              <w:rPr>
                <w:rFonts w:asciiTheme="minorHAnsi" w:hAnsiTheme="minorHAnsi" w:cstheme="minorHAnsi"/>
                <w:kern w:val="24"/>
                <w:sz w:val="16"/>
                <w:szCs w:val="16"/>
              </w:rPr>
              <w:t>Infrastructure</w:t>
            </w:r>
            <w:proofErr w:type="spellEnd"/>
            <w:r w:rsidRPr="00B614C4">
              <w:rPr>
                <w:rFonts w:asciiTheme="minorHAnsi" w:hAnsiTheme="minorHAnsi" w:cstheme="minorHAnsi"/>
                <w:kern w:val="24"/>
                <w:sz w:val="16"/>
                <w:szCs w:val="16"/>
              </w:rPr>
              <w:t xml:space="preserve"> as a Service - </w:t>
            </w:r>
            <w:proofErr w:type="spellStart"/>
            <w:r w:rsidRPr="00B614C4">
              <w:rPr>
                <w:rFonts w:asciiTheme="minorHAnsi" w:hAnsiTheme="minorHAnsi" w:cstheme="minorHAnsi"/>
                <w:kern w:val="24"/>
                <w:sz w:val="16"/>
                <w:szCs w:val="16"/>
              </w:rPr>
              <w:t>IaaS</w:t>
            </w:r>
            <w:proofErr w:type="spellEnd"/>
            <w:r w:rsidRPr="00B614C4">
              <w:rPr>
                <w:rFonts w:asciiTheme="minorHAnsi" w:hAnsiTheme="minorHAnsi" w:cstheme="minorHAnsi"/>
                <w:kern w:val="24"/>
                <w:sz w:val="16"/>
                <w:szCs w:val="16"/>
              </w:rPr>
              <w:t>) er en standardisert løsning der eksterne leverandører levere prosessorkraft, minne og nettverkskapabilitet til kundene når de har behov. Dette inkluder kun tjenester som leveres fra en tredjepart som en tjeneste via en abonnementsmodell.</w:t>
            </w:r>
          </w:p>
          <w:p w14:paraId="2CA5FA2D"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r w:rsidRPr="00B614C4">
              <w:rPr>
                <w:rFonts w:asciiTheme="minorHAnsi" w:hAnsiTheme="minorHAnsi" w:cstheme="minorHAnsi"/>
                <w:b/>
                <w:kern w:val="24"/>
                <w:sz w:val="16"/>
                <w:szCs w:val="16"/>
              </w:rPr>
              <w:t xml:space="preserve">Andre allmenne skytjenester: </w:t>
            </w:r>
            <w:r w:rsidRPr="00B614C4">
              <w:rPr>
                <w:rFonts w:asciiTheme="minorHAnsi" w:hAnsiTheme="minorHAnsi" w:cstheme="minorHAnsi"/>
                <w:sz w:val="16"/>
                <w:szCs w:val="16"/>
              </w:rPr>
              <w:t>Andre skytjenester og tjenester tilknyttet skytjenester (f.eks. sikkerhetstjenester, verktøy (f.eks. CMP - "</w:t>
            </w:r>
            <w:proofErr w:type="spellStart"/>
            <w:r w:rsidRPr="00B614C4">
              <w:rPr>
                <w:rFonts w:asciiTheme="minorHAnsi" w:hAnsiTheme="minorHAnsi" w:cstheme="minorHAnsi"/>
                <w:sz w:val="16"/>
                <w:szCs w:val="16"/>
              </w:rPr>
              <w:t>Cloud</w:t>
            </w:r>
            <w:proofErr w:type="spellEnd"/>
            <w:r w:rsidRPr="00B614C4">
              <w:rPr>
                <w:rFonts w:asciiTheme="minorHAnsi" w:hAnsiTheme="minorHAnsi" w:cstheme="minorHAnsi"/>
                <w:sz w:val="16"/>
                <w:szCs w:val="16"/>
              </w:rPr>
              <w:t xml:space="preserve"> Management Platform) og </w:t>
            </w:r>
            <w:proofErr w:type="spellStart"/>
            <w:r w:rsidRPr="00B614C4">
              <w:rPr>
                <w:rFonts w:asciiTheme="minorHAnsi" w:hAnsiTheme="minorHAnsi" w:cstheme="minorHAnsi"/>
                <w:sz w:val="16"/>
                <w:szCs w:val="16"/>
              </w:rPr>
              <w:t>PaaS</w:t>
            </w:r>
            <w:proofErr w:type="spellEnd"/>
            <w:r w:rsidRPr="00B614C4">
              <w:rPr>
                <w:rFonts w:asciiTheme="minorHAnsi" w:hAnsiTheme="minorHAnsi" w:cstheme="minorHAnsi"/>
                <w:sz w:val="16"/>
                <w:szCs w:val="16"/>
              </w:rPr>
              <w:t xml:space="preserve"> (se definisjon under). Dette inkluder kun tjenester som leveres fra en tredjepart som en tjeneste via en abonnementsmodell. Annet utstyr og verktøy for å muliggjøre bruk og håndtere skytjenester </w:t>
            </w:r>
            <w:proofErr w:type="gramStart"/>
            <w:r w:rsidRPr="00B614C4">
              <w:rPr>
                <w:rFonts w:asciiTheme="minorHAnsi" w:hAnsiTheme="minorHAnsi" w:cstheme="minorHAnsi"/>
                <w:sz w:val="16"/>
                <w:szCs w:val="16"/>
              </w:rPr>
              <w:t>implementert</w:t>
            </w:r>
            <w:proofErr w:type="gramEnd"/>
            <w:r w:rsidRPr="00B614C4">
              <w:rPr>
                <w:rFonts w:asciiTheme="minorHAnsi" w:hAnsiTheme="minorHAnsi" w:cstheme="minorHAnsi"/>
                <w:sz w:val="16"/>
                <w:szCs w:val="16"/>
              </w:rPr>
              <w:t xml:space="preserve"> i virksomhetens egne lokaler inkluderes under gjeldene kategori, f.eks. hardware eller software.</w:t>
            </w:r>
          </w:p>
          <w:p w14:paraId="767B610B"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PaaS</w:t>
            </w:r>
            <w:r w:rsidRPr="00B614C4">
              <w:rPr>
                <w:rFonts w:asciiTheme="minorHAnsi" w:hAnsiTheme="minorHAnsi" w:cstheme="minorHAnsi"/>
                <w:sz w:val="16"/>
                <w:szCs w:val="16"/>
              </w:rPr>
              <w:t>Plattform</w:t>
            </w:r>
            <w:proofErr w:type="spellEnd"/>
            <w:r w:rsidRPr="00B614C4">
              <w:rPr>
                <w:rFonts w:asciiTheme="minorHAnsi" w:hAnsiTheme="minorHAnsi" w:cstheme="minorHAnsi"/>
                <w:sz w:val="16"/>
                <w:szCs w:val="16"/>
              </w:rPr>
              <w:t xml:space="preserve"> som tjeneste (Platform as a Service - </w:t>
            </w:r>
            <w:proofErr w:type="spellStart"/>
            <w:r w:rsidRPr="00B614C4">
              <w:rPr>
                <w:rFonts w:asciiTheme="minorHAnsi" w:hAnsiTheme="minorHAnsi" w:cstheme="minorHAnsi"/>
                <w:sz w:val="16"/>
                <w:szCs w:val="16"/>
              </w:rPr>
              <w:t>PaaS</w:t>
            </w:r>
            <w:proofErr w:type="spellEnd"/>
            <w:r w:rsidRPr="00B614C4">
              <w:rPr>
                <w:rFonts w:asciiTheme="minorHAnsi" w:hAnsiTheme="minorHAnsi" w:cstheme="minorHAnsi"/>
                <w:sz w:val="16"/>
                <w:szCs w:val="16"/>
              </w:rPr>
              <w:t>), er der hvor kunden innfører applikasjoner utviklet/kjøpt av kunden i leverandørens nettsky-infrastruktur gjennom å benytte programmeringsspråk og verktøy støttet av leverandøren. Kunden har kontroll over egne applikasjoner, men har ikke kontroll over nettverk, servere, operativsystemer eller lagringsmuligheter.</w:t>
            </w:r>
          </w:p>
        </w:tc>
      </w:tr>
      <w:tr w:rsidR="00107E4F" w:rsidRPr="00545C02" w14:paraId="382B8CBD" w14:textId="77777777" w:rsidTr="00557966">
        <w:tc>
          <w:tcPr>
            <w:tcW w:w="2065" w:type="dxa"/>
            <w:vAlign w:val="center"/>
          </w:tcPr>
          <w:p w14:paraId="1661E5E7" w14:textId="77777777" w:rsidR="00107E4F" w:rsidRPr="00557966" w:rsidRDefault="00107E4F">
            <w:pPr>
              <w:pStyle w:val="NormalWeb"/>
              <w:spacing w:before="60" w:afterLines="60" w:after="144"/>
              <w:rPr>
                <w:rFonts w:ascii="Arial" w:hAnsi="Arial" w:cs="Arial"/>
                <w:b/>
                <w:sz w:val="16"/>
                <w:szCs w:val="36"/>
              </w:rPr>
            </w:pPr>
            <w:r w:rsidRPr="00557966">
              <w:rPr>
                <w:rFonts w:ascii="Arial" w:hAnsi="Arial" w:cs="Arial"/>
                <w:b/>
                <w:sz w:val="16"/>
                <w:szCs w:val="36"/>
              </w:rPr>
              <w:t>IKT-områder</w:t>
            </w:r>
          </w:p>
        </w:tc>
        <w:tc>
          <w:tcPr>
            <w:tcW w:w="7337" w:type="dxa"/>
            <w:vAlign w:val="center"/>
          </w:tcPr>
          <w:p w14:paraId="44BD95E0" w14:textId="77777777" w:rsidR="00107E4F" w:rsidRPr="00B614C4" w:rsidRDefault="00107E4F">
            <w:pPr>
              <w:pStyle w:val="NormalWeb"/>
              <w:spacing w:before="60" w:afterLines="60" w:after="144"/>
              <w:rPr>
                <w:rFonts w:ascii="Arial" w:hAnsi="Arial" w:cs="Arial"/>
                <w:sz w:val="16"/>
                <w:szCs w:val="36"/>
              </w:rPr>
            </w:pPr>
            <w:r w:rsidRPr="00B614C4">
              <w:rPr>
                <w:rFonts w:asciiTheme="minorHAnsi" w:hAnsiTheme="minorHAnsi" w:cstheme="minorHAnsi"/>
                <w:sz w:val="16"/>
                <w:szCs w:val="16"/>
              </w:rPr>
              <w:t xml:space="preserve">Fellesbetegnelse for datasenter, tele- og datanettverk, sluttbrukerutstyr, IKT brukerstøtte, applikasjonsutvikling, applikasjonsforvaltning, IT-styring og tjenesteledelse, IT-driftsovervåkning, IT-sikkerhet og IT-tjenestekontinuitet. Skygge-IT er inkludert for alle. </w:t>
            </w:r>
          </w:p>
        </w:tc>
      </w:tr>
      <w:tr w:rsidR="00107E4F" w:rsidRPr="00545C02" w14:paraId="7A11CC2E" w14:textId="77777777" w:rsidTr="00557966">
        <w:tc>
          <w:tcPr>
            <w:tcW w:w="2065" w:type="dxa"/>
            <w:vAlign w:val="center"/>
          </w:tcPr>
          <w:p w14:paraId="79C30ABE" w14:textId="77777777" w:rsidR="00107E4F" w:rsidRPr="00557966" w:rsidRDefault="00107E4F">
            <w:pPr>
              <w:pStyle w:val="NormalWeb"/>
              <w:spacing w:before="60" w:afterLines="60" w:after="144" w:line="256" w:lineRule="auto"/>
              <w:rPr>
                <w:rFonts w:ascii="Arial" w:hAnsi="Arial" w:cs="Arial"/>
                <w:b/>
                <w:sz w:val="16"/>
                <w:szCs w:val="18"/>
              </w:rPr>
            </w:pPr>
            <w:r w:rsidRPr="00557966">
              <w:rPr>
                <w:rFonts w:asciiTheme="minorHAnsi" w:eastAsiaTheme="minorEastAsia" w:hAnsi="Arial" w:cstheme="minorBidi"/>
                <w:b/>
                <w:kern w:val="24"/>
                <w:sz w:val="16"/>
                <w:szCs w:val="18"/>
              </w:rPr>
              <w:t xml:space="preserve">Datasenter </w:t>
            </w:r>
          </w:p>
        </w:tc>
        <w:tc>
          <w:tcPr>
            <w:tcW w:w="7337" w:type="dxa"/>
          </w:tcPr>
          <w:p w14:paraId="4A80244B" w14:textId="77777777" w:rsidR="00107E4F" w:rsidRPr="00B614C4" w:rsidRDefault="00107E4F">
            <w:pPr>
              <w:pStyle w:val="NormalWeb"/>
              <w:spacing w:before="60" w:afterLines="60" w:after="144" w:line="256" w:lineRule="auto"/>
              <w:rPr>
                <w:rFonts w:asciiTheme="minorHAnsi" w:eastAsiaTheme="minorEastAsia" w:hAnsi="Arial" w:cstheme="minorBidi"/>
                <w:bCs/>
                <w:kern w:val="24"/>
                <w:sz w:val="16"/>
                <w:szCs w:val="18"/>
              </w:rPr>
            </w:pPr>
            <w:r w:rsidRPr="00B614C4">
              <w:rPr>
                <w:rFonts w:asciiTheme="minorHAnsi" w:eastAsiaTheme="minorEastAsia" w:hAnsi="Arial" w:cstheme="minorBidi"/>
                <w:bCs/>
                <w:kern w:val="24"/>
                <w:sz w:val="16"/>
                <w:szCs w:val="18"/>
              </w:rPr>
              <w:t xml:space="preserve">All IKT-kostnad tilknyttet drift og vedlikehold av datasenter eller datarom. Inkluderer alle livssykluskostnader fra anskaffelse og implementering til vedlikehold og avvikling av servere (Windows, Unix og Linux), lagring og stormaskiner. Dette omfatter kostnader for </w:t>
            </w:r>
            <w:proofErr w:type="gramStart"/>
            <w:r w:rsidRPr="00B614C4">
              <w:rPr>
                <w:rFonts w:asciiTheme="minorHAnsi" w:eastAsiaTheme="minorEastAsia" w:hAnsi="Arial" w:cstheme="minorBidi"/>
                <w:bCs/>
                <w:kern w:val="24"/>
                <w:sz w:val="16"/>
                <w:szCs w:val="18"/>
              </w:rPr>
              <w:t>hardware</w:t>
            </w:r>
            <w:proofErr w:type="gramEnd"/>
            <w:r w:rsidRPr="00B614C4">
              <w:rPr>
                <w:rFonts w:asciiTheme="minorHAnsi" w:eastAsiaTheme="minorEastAsia" w:hAnsi="Arial" w:cstheme="minorBidi"/>
                <w:bCs/>
                <w:kern w:val="24"/>
                <w:sz w:val="16"/>
                <w:szCs w:val="18"/>
              </w:rPr>
              <w:t>, software, personell og fasiliteter (allokeres til gjeldene IKT-ressurskategori).</w:t>
            </w:r>
          </w:p>
          <w:p w14:paraId="30FD2218" w14:textId="77777777" w:rsidR="00107E4F" w:rsidRPr="00B614C4" w:rsidRDefault="00107E4F">
            <w:pPr>
              <w:pStyle w:val="NormalWeb"/>
              <w:spacing w:before="60" w:afterLines="60" w:after="144" w:line="256" w:lineRule="auto"/>
              <w:rPr>
                <w:rFonts w:asciiTheme="minorHAnsi" w:eastAsiaTheme="minorEastAsia" w:hAnsi="Arial" w:cstheme="minorBidi"/>
                <w:bCs/>
                <w:kern w:val="24"/>
                <w:sz w:val="16"/>
                <w:szCs w:val="18"/>
              </w:rPr>
            </w:pPr>
            <w:r w:rsidRPr="00B614C4">
              <w:rPr>
                <w:rFonts w:asciiTheme="minorHAnsi" w:eastAsiaTheme="minorEastAsia" w:hAnsi="Arial" w:cstheme="minorBidi"/>
                <w:bCs/>
                <w:kern w:val="24"/>
                <w:sz w:val="16"/>
                <w:szCs w:val="18"/>
              </w:rPr>
              <w:t>Denne kategorien inkluderer også oppgaver knyttet til applikasjonsdrift (gjenstarte servere, sikre nok lagring etc.)</w:t>
            </w:r>
          </w:p>
        </w:tc>
      </w:tr>
      <w:tr w:rsidR="00107E4F" w:rsidRPr="00545C02" w14:paraId="5DB84140" w14:textId="77777777" w:rsidTr="00557966">
        <w:tc>
          <w:tcPr>
            <w:tcW w:w="2065" w:type="dxa"/>
            <w:vAlign w:val="center"/>
          </w:tcPr>
          <w:p w14:paraId="17D2FC45"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Tele- og datanettverk</w:t>
            </w:r>
          </w:p>
        </w:tc>
        <w:tc>
          <w:tcPr>
            <w:tcW w:w="7337" w:type="dxa"/>
          </w:tcPr>
          <w:p w14:paraId="1424AAC7"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Arial" w:eastAsiaTheme="minorEastAsia" w:hAnsi="Arial" w:cstheme="minorBidi"/>
                <w:bCs/>
                <w:kern w:val="24"/>
                <w:sz w:val="16"/>
                <w:szCs w:val="16"/>
              </w:rPr>
              <w:t xml:space="preserve">Tele- og datanettverk inkluderer alle utstyrs-, personell og abonnementskostnader tilknyttet å gi brukere tilgang til virksomhetens systemer, internett og teletjenester. Kategorien dekker kostnader for at ansatte skal få tilgang til internett (internett </w:t>
            </w:r>
            <w:proofErr w:type="spellStart"/>
            <w:r w:rsidRPr="00E306D1">
              <w:rPr>
                <w:rFonts w:ascii="Arial" w:eastAsiaTheme="minorEastAsia" w:hAnsi="Arial" w:cstheme="minorBidi"/>
                <w:bCs/>
                <w:kern w:val="24"/>
                <w:sz w:val="16"/>
                <w:szCs w:val="16"/>
              </w:rPr>
              <w:t>access</w:t>
            </w:r>
            <w:proofErr w:type="spellEnd"/>
            <w:r w:rsidRPr="00E306D1">
              <w:rPr>
                <w:rFonts w:ascii="Arial" w:eastAsiaTheme="minorEastAsia" w:hAnsi="Arial" w:cstheme="minorBidi"/>
                <w:bCs/>
                <w:kern w:val="24"/>
                <w:sz w:val="16"/>
                <w:szCs w:val="16"/>
              </w:rPr>
              <w:t xml:space="preserve"> services (IAS)), kostnader for WAN-nettverk for kommunikasjon mellom virksomhetenes lokasjoner og partnere, kostnader tilknyttet å levere LAN-tjenester med tilgang til nettverk fra understøttende lokasjoner (inkluderer abonnement og dedikert LAN-utstyr) og kostnader for Voice </w:t>
            </w:r>
            <w:proofErr w:type="spellStart"/>
            <w:r w:rsidRPr="00E306D1">
              <w:rPr>
                <w:rFonts w:ascii="Arial" w:eastAsiaTheme="minorEastAsia" w:hAnsi="Arial" w:cstheme="minorBidi"/>
                <w:bCs/>
                <w:kern w:val="24"/>
                <w:sz w:val="16"/>
                <w:szCs w:val="16"/>
              </w:rPr>
              <w:t>Premise</w:t>
            </w:r>
            <w:proofErr w:type="spellEnd"/>
            <w:r w:rsidRPr="00E306D1">
              <w:rPr>
                <w:rFonts w:ascii="Arial" w:eastAsiaTheme="minorEastAsia" w:hAnsi="Arial" w:cstheme="minorBidi"/>
                <w:bCs/>
                <w:kern w:val="24"/>
                <w:sz w:val="16"/>
                <w:szCs w:val="16"/>
              </w:rPr>
              <w:t xml:space="preserve"> Technology (VPT) som dekker telefontjenester og abonnement (inkluder all håndtering, instillasjon og vedlikehold av utstyr tilknyttet telefoni og IP-telefoni).</w:t>
            </w:r>
          </w:p>
        </w:tc>
      </w:tr>
      <w:tr w:rsidR="00107E4F" w:rsidRPr="00545C02" w14:paraId="674848CE" w14:textId="77777777" w:rsidTr="00557966">
        <w:tc>
          <w:tcPr>
            <w:tcW w:w="2065" w:type="dxa"/>
            <w:vAlign w:val="center"/>
          </w:tcPr>
          <w:p w14:paraId="00AC0D7E"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Sluttbrukerutstyr</w:t>
            </w:r>
          </w:p>
        </w:tc>
        <w:tc>
          <w:tcPr>
            <w:tcW w:w="7337" w:type="dxa"/>
          </w:tcPr>
          <w:p w14:paraId="638E5B0F" w14:textId="77777777" w:rsidR="00107E4F" w:rsidRPr="00E306D1" w:rsidRDefault="00107E4F">
            <w:pPr>
              <w:pStyle w:val="NormalWeb"/>
              <w:tabs>
                <w:tab w:val="clear" w:pos="357"/>
              </w:tabs>
              <w:spacing w:before="60" w:afterLines="60" w:after="144" w:line="257" w:lineRule="auto"/>
              <w:rPr>
                <w:rFonts w:asciiTheme="minorHAnsi" w:hAnsiTheme="minorHAnsi" w:cstheme="minorHAnsi"/>
                <w:sz w:val="16"/>
                <w:szCs w:val="16"/>
              </w:rPr>
            </w:pPr>
            <w:r w:rsidRPr="00E306D1">
              <w:rPr>
                <w:rFonts w:asciiTheme="minorHAnsi" w:eastAsiaTheme="minorEastAsia" w:hAnsi="Arial" w:cstheme="minorBidi"/>
                <w:bCs/>
                <w:kern w:val="24"/>
                <w:sz w:val="16"/>
                <w:szCs w:val="16"/>
              </w:rPr>
              <w:t xml:space="preserve">Kostnader for å gi brukerne tilgang til virksomhetens tjenester via PC, mobil, nettbrett eller lignende. Dette inkluderer all </w:t>
            </w:r>
            <w:proofErr w:type="gramStart"/>
            <w:r w:rsidRPr="00E306D1">
              <w:rPr>
                <w:rFonts w:asciiTheme="minorHAnsi" w:eastAsiaTheme="minorEastAsia" w:hAnsi="Arial" w:cstheme="minorBidi"/>
                <w:bCs/>
                <w:kern w:val="24"/>
                <w:sz w:val="16"/>
                <w:szCs w:val="16"/>
              </w:rPr>
              <w:t>hardware</w:t>
            </w:r>
            <w:proofErr w:type="gramEnd"/>
            <w:r w:rsidRPr="00E306D1">
              <w:rPr>
                <w:rFonts w:asciiTheme="minorHAnsi" w:eastAsiaTheme="minorEastAsia" w:hAnsi="Arial" w:cstheme="minorBidi"/>
                <w:bCs/>
                <w:kern w:val="24"/>
                <w:sz w:val="16"/>
                <w:szCs w:val="16"/>
              </w:rPr>
              <w:t xml:space="preserve"> og software som anvendes for å gi tilgang til tjenestene, enten fra </w:t>
            </w:r>
            <w:r w:rsidRPr="00E306D1">
              <w:rPr>
                <w:rFonts w:asciiTheme="minorHAnsi" w:eastAsiaTheme="minorEastAsia" w:hAnsi="Arial" w:cstheme="minorBidi"/>
                <w:bCs/>
                <w:kern w:val="24"/>
                <w:sz w:val="16"/>
                <w:szCs w:val="16"/>
              </w:rPr>
              <w:lastRenderedPageBreak/>
              <w:t xml:space="preserve">arbeidsstedet eller via fjerntilgang. Tele- og nettverkskostnader (f.eks. mobilabonnement) inkluderes ikke, men allokeres til IKT-området "Tele- og datanettverk". Merk at kostnader knyttet til programvare for samhandling (f.eks. Microsoft Office, interne </w:t>
            </w:r>
            <w:proofErr w:type="gramStart"/>
            <w:r w:rsidRPr="00E306D1">
              <w:rPr>
                <w:rFonts w:asciiTheme="minorHAnsi" w:eastAsiaTheme="minorEastAsia" w:hAnsi="Arial" w:cstheme="minorBidi"/>
                <w:bCs/>
                <w:kern w:val="24"/>
                <w:sz w:val="16"/>
                <w:szCs w:val="16"/>
              </w:rPr>
              <w:t>chat</w:t>
            </w:r>
            <w:proofErr w:type="gramEnd"/>
            <w:r w:rsidRPr="00E306D1">
              <w:rPr>
                <w:rFonts w:asciiTheme="minorHAnsi" w:eastAsiaTheme="minorEastAsia" w:hAnsi="Arial" w:cstheme="minorBidi"/>
                <w:bCs/>
                <w:kern w:val="24"/>
                <w:sz w:val="16"/>
                <w:szCs w:val="16"/>
              </w:rPr>
              <w:t>-</w:t>
            </w:r>
            <w:proofErr w:type="spellStart"/>
            <w:r w:rsidRPr="00E306D1">
              <w:rPr>
                <w:rFonts w:asciiTheme="minorHAnsi" w:eastAsiaTheme="minorEastAsia" w:hAnsi="Arial" w:cstheme="minorBidi"/>
                <w:bCs/>
                <w:kern w:val="24"/>
                <w:sz w:val="16"/>
                <w:szCs w:val="16"/>
              </w:rPr>
              <w:t>løsninge</w:t>
            </w:r>
            <w:proofErr w:type="spellEnd"/>
            <w:r w:rsidRPr="00E306D1">
              <w:rPr>
                <w:rFonts w:asciiTheme="minorHAnsi" w:eastAsiaTheme="minorEastAsia" w:hAnsi="Arial" w:cstheme="minorBidi"/>
                <w:bCs/>
                <w:kern w:val="24"/>
                <w:sz w:val="16"/>
                <w:szCs w:val="16"/>
              </w:rPr>
              <w:t>) er inkludert her.</w:t>
            </w:r>
          </w:p>
        </w:tc>
      </w:tr>
      <w:tr w:rsidR="00107E4F" w:rsidRPr="00545C02" w14:paraId="66831651" w14:textId="77777777" w:rsidTr="00557966">
        <w:tc>
          <w:tcPr>
            <w:tcW w:w="2065" w:type="dxa"/>
            <w:vAlign w:val="center"/>
          </w:tcPr>
          <w:p w14:paraId="5B1E03E4"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lastRenderedPageBreak/>
              <w:t>IKT-brukerstøtte</w:t>
            </w:r>
          </w:p>
        </w:tc>
        <w:tc>
          <w:tcPr>
            <w:tcW w:w="7337" w:type="dxa"/>
          </w:tcPr>
          <w:p w14:paraId="298821BD"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Theme="minorHAnsi" w:eastAsiaTheme="minorEastAsia" w:hAnsi="Arial" w:cstheme="minorBidi"/>
                <w:kern w:val="24"/>
                <w:sz w:val="16"/>
                <w:szCs w:val="16"/>
              </w:rPr>
              <w:t xml:space="preserve">Alle kostnader tilknyttet virksomhetens SPOC ("Single </w:t>
            </w:r>
            <w:proofErr w:type="spellStart"/>
            <w:r w:rsidRPr="00E306D1">
              <w:rPr>
                <w:rFonts w:asciiTheme="minorHAnsi" w:eastAsiaTheme="minorEastAsia" w:hAnsi="Arial" w:cstheme="minorBidi"/>
                <w:kern w:val="24"/>
                <w:sz w:val="16"/>
                <w:szCs w:val="16"/>
              </w:rPr>
              <w:t>point</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of</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contact</w:t>
            </w:r>
            <w:proofErr w:type="spellEnd"/>
            <w:r w:rsidRPr="00E306D1">
              <w:rPr>
                <w:rFonts w:asciiTheme="minorHAnsi" w:eastAsiaTheme="minorEastAsia" w:hAnsi="Arial" w:cstheme="minorBidi"/>
                <w:kern w:val="24"/>
                <w:sz w:val="16"/>
                <w:szCs w:val="16"/>
              </w:rPr>
              <w:t xml:space="preserve">"), med alle hendelser og forespørsler til IKT-brukerstøtte. Omfatter ansvarlig for å respondere eller koordinere saker innsendt fra brukere til resten av IKT-organisasjonen. IKT-brukerstøtte inkluderer 1. linje, med å respondere eller koordinere saker innsendt fra brukere til resten av IKT-organisasjonen. 2. og 3. linje inkluderes ikke, men allokeres under relevante kategorier (f.eks. applikasjonsforvaltning hvis det omhandler applikasjoner og datasenter hvis det omhandler infrastruktur). Hardware og </w:t>
            </w:r>
            <w:proofErr w:type="gramStart"/>
            <w:r w:rsidRPr="00E306D1">
              <w:rPr>
                <w:rFonts w:asciiTheme="minorHAnsi" w:eastAsiaTheme="minorEastAsia" w:hAnsi="Arial" w:cstheme="minorBidi"/>
                <w:kern w:val="24"/>
                <w:sz w:val="16"/>
                <w:szCs w:val="16"/>
              </w:rPr>
              <w:t>software</w:t>
            </w:r>
            <w:proofErr w:type="gramEnd"/>
            <w:r w:rsidRPr="00E306D1">
              <w:rPr>
                <w:rFonts w:asciiTheme="minorHAnsi" w:eastAsiaTheme="minorEastAsia" w:hAnsi="Arial" w:cstheme="minorBidi"/>
                <w:kern w:val="24"/>
                <w:sz w:val="16"/>
                <w:szCs w:val="16"/>
              </w:rPr>
              <w:t xml:space="preserve"> som anvendes eksklusivt av IKT-brukerstøtte inkluderes.</w:t>
            </w:r>
          </w:p>
        </w:tc>
      </w:tr>
      <w:tr w:rsidR="00107E4F" w:rsidRPr="00545C02" w14:paraId="3758D731" w14:textId="77777777" w:rsidTr="00557966">
        <w:tc>
          <w:tcPr>
            <w:tcW w:w="2065" w:type="dxa"/>
            <w:vAlign w:val="center"/>
          </w:tcPr>
          <w:p w14:paraId="4DFC0647"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Applikasjonsutvikling</w:t>
            </w:r>
          </w:p>
        </w:tc>
        <w:tc>
          <w:tcPr>
            <w:tcW w:w="7337" w:type="dxa"/>
          </w:tcPr>
          <w:p w14:paraId="5889BE5D"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Theme="minorHAnsi" w:eastAsiaTheme="minorEastAsia" w:hAnsi="Arial" w:cstheme="minorBidi"/>
                <w:bCs/>
                <w:kern w:val="24"/>
                <w:sz w:val="16"/>
                <w:szCs w:val="16"/>
              </w:rPr>
              <w:t xml:space="preserve">Utvikling av ny kode for nye applikasjoner eller funksjonelle forbedring av eksisterende kode som tar to ukesverk eller mer. En "funksjonell forbedring" defineres som en endring for en bruker som bidrar til å øke applikasjonens evne til å understøtte virksomhetsprosesser og funksjoner. Inkluderer kostnader tilknyttet programvare, sluttbrukerutstyr og </w:t>
            </w:r>
            <w:proofErr w:type="gramStart"/>
            <w:r w:rsidRPr="00E306D1">
              <w:rPr>
                <w:rFonts w:asciiTheme="minorHAnsi" w:eastAsiaTheme="minorEastAsia" w:hAnsi="Arial" w:cstheme="minorBidi"/>
                <w:bCs/>
                <w:kern w:val="24"/>
                <w:sz w:val="16"/>
                <w:szCs w:val="16"/>
              </w:rPr>
              <w:t>hardware</w:t>
            </w:r>
            <w:proofErr w:type="gramEnd"/>
            <w:r w:rsidRPr="00E306D1">
              <w:rPr>
                <w:rFonts w:asciiTheme="minorHAnsi" w:eastAsiaTheme="minorEastAsia" w:hAnsi="Arial" w:cstheme="minorBidi"/>
                <w:bCs/>
                <w:kern w:val="24"/>
                <w:sz w:val="16"/>
                <w:szCs w:val="16"/>
              </w:rPr>
              <w:t xml:space="preserve"> som eksklusivt anvendes til applikasjonsutvikling (f.eks. utviklingsverktøy, PCer anvendt av utviklere, mobiler og PC anvendt for testing, servere og lagring anvendt i testmiljøet o.l.).</w:t>
            </w:r>
          </w:p>
        </w:tc>
      </w:tr>
      <w:tr w:rsidR="00107E4F" w:rsidRPr="00545C02" w14:paraId="3B19EE35" w14:textId="77777777" w:rsidTr="00557966">
        <w:tc>
          <w:tcPr>
            <w:tcW w:w="2065" w:type="dxa"/>
            <w:vAlign w:val="center"/>
          </w:tcPr>
          <w:p w14:paraId="664451BC" w14:textId="77777777" w:rsidR="00107E4F" w:rsidRPr="00557966" w:rsidRDefault="00107E4F">
            <w:pPr>
              <w:pStyle w:val="NormalWeb"/>
              <w:spacing w:before="60" w:afterLines="60" w:after="144" w:line="256" w:lineRule="auto"/>
              <w:rPr>
                <w:rFonts w:ascii="Arial" w:hAnsi="Arial" w:cs="Arial"/>
                <w:b/>
                <w:sz w:val="16"/>
                <w:szCs w:val="16"/>
                <w:highlight w:val="yellow"/>
              </w:rPr>
            </w:pPr>
            <w:r w:rsidRPr="00557966">
              <w:rPr>
                <w:rFonts w:asciiTheme="minorHAnsi" w:eastAsiaTheme="minorEastAsia" w:hAnsi="Arial" w:cstheme="minorBidi"/>
                <w:b/>
                <w:kern w:val="24"/>
                <w:sz w:val="16"/>
                <w:szCs w:val="16"/>
              </w:rPr>
              <w:t>Applikasjonsforvaltning</w:t>
            </w:r>
          </w:p>
        </w:tc>
        <w:tc>
          <w:tcPr>
            <w:tcW w:w="7337" w:type="dxa"/>
          </w:tcPr>
          <w:p w14:paraId="66007874" w14:textId="77777777" w:rsidR="00107E4F" w:rsidRPr="00545C02" w:rsidRDefault="00107E4F">
            <w:pPr>
              <w:pStyle w:val="NormalWeb"/>
              <w:spacing w:before="60" w:afterLines="60" w:after="144" w:line="256" w:lineRule="auto"/>
              <w:rPr>
                <w:rFonts w:asciiTheme="minorHAnsi" w:eastAsiaTheme="minorEastAsia" w:hAnsi="Arial" w:cstheme="minorBidi"/>
                <w:kern w:val="24"/>
                <w:sz w:val="16"/>
                <w:szCs w:val="16"/>
                <w:highlight w:val="yellow"/>
              </w:rPr>
            </w:pPr>
            <w:r w:rsidRPr="00E306D1">
              <w:rPr>
                <w:rFonts w:asciiTheme="minorHAnsi" w:eastAsiaTheme="minorEastAsia" w:hAnsi="Arial" w:cstheme="minorBidi"/>
                <w:kern w:val="24"/>
                <w:sz w:val="16"/>
                <w:szCs w:val="16"/>
              </w:rPr>
              <w:t xml:space="preserve">Hele livssyklusen av applikasjonsforvaltning, inkludert forbedringer og aktiviteter som går inn under "å holde lysene på". Utbedring av programfeil (inkl. </w:t>
            </w:r>
            <w:proofErr w:type="spellStart"/>
            <w:r w:rsidRPr="00E306D1">
              <w:rPr>
                <w:rFonts w:asciiTheme="minorHAnsi" w:eastAsiaTheme="minorEastAsia" w:hAnsi="Arial" w:cstheme="minorBidi"/>
                <w:kern w:val="24"/>
                <w:sz w:val="16"/>
                <w:szCs w:val="16"/>
              </w:rPr>
              <w:t>debugging</w:t>
            </w:r>
            <w:proofErr w:type="spellEnd"/>
            <w:r w:rsidRPr="00E306D1">
              <w:rPr>
                <w:rFonts w:asciiTheme="minorHAnsi" w:eastAsiaTheme="minorEastAsia" w:hAnsi="Arial" w:cstheme="minorBidi"/>
                <w:kern w:val="24"/>
                <w:sz w:val="16"/>
                <w:szCs w:val="16"/>
              </w:rPr>
              <w:t xml:space="preserve">) uavhengig av størrelse eller varighet, vedlikehold av programvarekode og databaser (f.eks. inkludert endring av </w:t>
            </w:r>
            <w:proofErr w:type="spellStart"/>
            <w:r w:rsidRPr="00E306D1">
              <w:rPr>
                <w:rFonts w:asciiTheme="minorHAnsi" w:eastAsiaTheme="minorEastAsia" w:hAnsi="Arial" w:cstheme="minorBidi"/>
                <w:kern w:val="24"/>
                <w:sz w:val="16"/>
                <w:szCs w:val="16"/>
              </w:rPr>
              <w:t>feltstørrelser</w:t>
            </w:r>
            <w:proofErr w:type="spellEnd"/>
            <w:r w:rsidRPr="00E306D1">
              <w:rPr>
                <w:rFonts w:asciiTheme="minorHAnsi" w:eastAsiaTheme="minorEastAsia" w:hAnsi="Arial" w:cstheme="minorBidi"/>
                <w:kern w:val="24"/>
                <w:sz w:val="16"/>
                <w:szCs w:val="16"/>
              </w:rPr>
              <w:t xml:space="preserve"> e.l.) og funksjonelle forbedringer som tar under to ukesverk. Dette vil inkludere alle utviklingsprosjekter som ikke produserer ny funksjonalitet til brukerne. Inkluderer kostnader tilknyttet vedlikehold av virksomhetsapplikasjoner også hyllevareløsninger (f.eks. </w:t>
            </w:r>
            <w:proofErr w:type="spellStart"/>
            <w:r w:rsidRPr="00E306D1">
              <w:rPr>
                <w:rFonts w:asciiTheme="minorHAnsi" w:eastAsiaTheme="minorEastAsia" w:hAnsi="Arial" w:cstheme="minorBidi"/>
                <w:kern w:val="24"/>
                <w:sz w:val="16"/>
                <w:szCs w:val="16"/>
              </w:rPr>
              <w:t>vedlikeholdslisenser</w:t>
            </w:r>
            <w:proofErr w:type="spellEnd"/>
            <w:r w:rsidRPr="00E306D1">
              <w:rPr>
                <w:rFonts w:asciiTheme="minorHAnsi" w:eastAsiaTheme="minorEastAsia" w:hAnsi="Arial" w:cstheme="minorBidi"/>
                <w:kern w:val="24"/>
                <w:sz w:val="16"/>
                <w:szCs w:val="16"/>
              </w:rPr>
              <w:t xml:space="preserve">). Inkluderer kostnader tilknyttet programvare, sluttbrukerutstyr og </w:t>
            </w:r>
            <w:proofErr w:type="gramStart"/>
            <w:r w:rsidRPr="00E306D1">
              <w:rPr>
                <w:rFonts w:asciiTheme="minorHAnsi" w:eastAsiaTheme="minorEastAsia" w:hAnsi="Arial" w:cstheme="minorBidi"/>
                <w:kern w:val="24"/>
                <w:sz w:val="16"/>
                <w:szCs w:val="16"/>
              </w:rPr>
              <w:t>hardware</w:t>
            </w:r>
            <w:proofErr w:type="gramEnd"/>
            <w:r w:rsidRPr="00E306D1">
              <w:rPr>
                <w:rFonts w:asciiTheme="minorHAnsi" w:eastAsiaTheme="minorEastAsia" w:hAnsi="Arial" w:cstheme="minorBidi"/>
                <w:kern w:val="24"/>
                <w:sz w:val="16"/>
                <w:szCs w:val="16"/>
              </w:rPr>
              <w:t xml:space="preserve"> som eksklusivt anvendes til applikasjonsforvaltning.</w:t>
            </w:r>
          </w:p>
        </w:tc>
      </w:tr>
      <w:tr w:rsidR="00107E4F" w:rsidRPr="00545C02" w14:paraId="29811E8C" w14:textId="77777777" w:rsidTr="00557966">
        <w:tc>
          <w:tcPr>
            <w:tcW w:w="2065" w:type="dxa"/>
            <w:vAlign w:val="center"/>
          </w:tcPr>
          <w:p w14:paraId="6CD42897"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IT-styring og tjenesteledelse</w:t>
            </w:r>
          </w:p>
        </w:tc>
        <w:tc>
          <w:tcPr>
            <w:tcW w:w="7337" w:type="dxa"/>
          </w:tcPr>
          <w:p w14:paraId="222611AF"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Tidligere definert som «IT ledelse, finans og administrasjon». Inkluderer kostnader knyttet til planlegging og styring, arkitektur og løsningsstrategi, og IT-tjeneste og leveranseledelse. Dette inkluderer f.eks. strategisk ledelse, virksomhetsarkitektur, overordnet prosessledelse, IKT innkjøp, finans, juridisk og HR (som eksklusivt jobber for IKT-avdelingen). Inkluderer direkte administrative støtte til IKT-avdelingen, f.eks. sekretærer, resepsjonister eller administrative assistenter.</w:t>
            </w:r>
          </w:p>
        </w:tc>
      </w:tr>
      <w:tr w:rsidR="00107E4F" w:rsidRPr="00545C02" w14:paraId="5CA6B205" w14:textId="77777777" w:rsidTr="00557966">
        <w:tc>
          <w:tcPr>
            <w:tcW w:w="2065" w:type="dxa"/>
            <w:vAlign w:val="center"/>
          </w:tcPr>
          <w:p w14:paraId="597DAEA2"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IT-driftsovervåking</w:t>
            </w:r>
          </w:p>
        </w:tc>
        <w:tc>
          <w:tcPr>
            <w:tcW w:w="7337" w:type="dxa"/>
          </w:tcPr>
          <w:p w14:paraId="45A16B85"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 xml:space="preserve">Kostnader knyttet til overvåking «på stedet» og/eller ekstern IT-driftsovervåking for å få innsikt i den historiske, nåværende og fremtidige tilgjengeligheten og ytelsen til IT-systemer, nettverk og applikasjoner, inkludert </w:t>
            </w:r>
            <w:proofErr w:type="spellStart"/>
            <w:r w:rsidRPr="00E306D1">
              <w:rPr>
                <w:rFonts w:asciiTheme="minorHAnsi" w:eastAsiaTheme="minorEastAsia" w:hAnsi="Arial" w:cstheme="minorBidi"/>
                <w:kern w:val="24"/>
                <w:sz w:val="16"/>
                <w:szCs w:val="16"/>
              </w:rPr>
              <w:t>rotårsaksanalyser</w:t>
            </w:r>
            <w:proofErr w:type="spellEnd"/>
            <w:r w:rsidRPr="00E306D1">
              <w:rPr>
                <w:rFonts w:asciiTheme="minorHAnsi" w:eastAsiaTheme="minorEastAsia" w:hAnsi="Arial" w:cstheme="minorBidi"/>
                <w:kern w:val="24"/>
                <w:sz w:val="16"/>
                <w:szCs w:val="16"/>
              </w:rPr>
              <w:t xml:space="preserve">. Overvåking utføres vanligvis i fire kategorier: IT infrastrukturovervåking (IT </w:t>
            </w:r>
            <w:proofErr w:type="spellStart"/>
            <w:r w:rsidRPr="00E306D1">
              <w:rPr>
                <w:rFonts w:asciiTheme="minorHAnsi" w:eastAsiaTheme="minorEastAsia" w:hAnsi="Arial" w:cstheme="minorBidi"/>
                <w:kern w:val="24"/>
                <w:sz w:val="16"/>
                <w:szCs w:val="16"/>
              </w:rPr>
              <w:t>Infrastructure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(ITIM)), overvåking av applikasjonsytelse (Applications </w:t>
            </w:r>
            <w:proofErr w:type="spellStart"/>
            <w:r w:rsidRPr="00E306D1">
              <w:rPr>
                <w:rFonts w:asciiTheme="minorHAnsi" w:eastAsiaTheme="minorEastAsia" w:hAnsi="Arial" w:cstheme="minorBidi"/>
                <w:kern w:val="24"/>
                <w:sz w:val="16"/>
                <w:szCs w:val="16"/>
              </w:rPr>
              <w:t>Performance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(APM)), </w:t>
            </w:r>
            <w:proofErr w:type="spellStart"/>
            <w:r w:rsidRPr="00E306D1">
              <w:rPr>
                <w:rFonts w:asciiTheme="minorHAnsi" w:eastAsiaTheme="minorEastAsia" w:hAnsi="Arial" w:cstheme="minorBidi"/>
                <w:kern w:val="24"/>
                <w:sz w:val="16"/>
                <w:szCs w:val="16"/>
              </w:rPr>
              <w:t>Artificial</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Intelligence</w:t>
            </w:r>
            <w:proofErr w:type="spellEnd"/>
            <w:r w:rsidRPr="00E306D1">
              <w:rPr>
                <w:rFonts w:asciiTheme="minorHAnsi" w:eastAsiaTheme="minorEastAsia" w:hAnsi="Arial" w:cstheme="minorBidi"/>
                <w:kern w:val="24"/>
                <w:sz w:val="16"/>
                <w:szCs w:val="16"/>
              </w:rPr>
              <w:t xml:space="preserve"> for IT-drift (</w:t>
            </w:r>
            <w:proofErr w:type="spellStart"/>
            <w:r w:rsidRPr="00E306D1">
              <w:rPr>
                <w:rFonts w:asciiTheme="minorHAnsi" w:eastAsiaTheme="minorEastAsia" w:hAnsi="Arial" w:cstheme="minorBidi"/>
                <w:kern w:val="24"/>
                <w:sz w:val="16"/>
                <w:szCs w:val="16"/>
              </w:rPr>
              <w:t>AIOps</w:t>
            </w:r>
            <w:proofErr w:type="spellEnd"/>
            <w:r w:rsidRPr="00E306D1">
              <w:rPr>
                <w:rFonts w:asciiTheme="minorHAnsi" w:eastAsiaTheme="minorEastAsia" w:hAnsi="Arial" w:cstheme="minorBidi"/>
                <w:kern w:val="24"/>
                <w:sz w:val="16"/>
                <w:szCs w:val="16"/>
              </w:rPr>
              <w:t xml:space="preserve">) og overvåking og diagnostikk av nettverk (Network </w:t>
            </w:r>
            <w:proofErr w:type="spellStart"/>
            <w:r w:rsidRPr="00E306D1">
              <w:rPr>
                <w:rFonts w:asciiTheme="minorHAnsi" w:eastAsiaTheme="minorEastAsia" w:hAnsi="Arial" w:cstheme="minorBidi"/>
                <w:kern w:val="24"/>
                <w:sz w:val="16"/>
                <w:szCs w:val="16"/>
              </w:rPr>
              <w:t>Performance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and Diagnostics (NPMD)).</w:t>
            </w:r>
          </w:p>
        </w:tc>
      </w:tr>
      <w:tr w:rsidR="00107E4F" w:rsidRPr="00545C02" w14:paraId="5C372CC9" w14:textId="77777777" w:rsidTr="00557966">
        <w:tc>
          <w:tcPr>
            <w:tcW w:w="2065" w:type="dxa"/>
            <w:vAlign w:val="center"/>
          </w:tcPr>
          <w:p w14:paraId="02084874"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IT-sikkerhet</w:t>
            </w:r>
          </w:p>
        </w:tc>
        <w:tc>
          <w:tcPr>
            <w:tcW w:w="7337" w:type="dxa"/>
          </w:tcPr>
          <w:p w14:paraId="12D04D6E"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 xml:space="preserve">Kostnader knyttet til å designe, </w:t>
            </w:r>
            <w:proofErr w:type="gramStart"/>
            <w:r w:rsidRPr="00E306D1">
              <w:rPr>
                <w:rFonts w:asciiTheme="minorHAnsi" w:eastAsiaTheme="minorEastAsia" w:hAnsi="Arial" w:cstheme="minorBidi"/>
                <w:kern w:val="24"/>
                <w:sz w:val="16"/>
                <w:szCs w:val="16"/>
              </w:rPr>
              <w:t>implementere</w:t>
            </w:r>
            <w:proofErr w:type="gramEnd"/>
            <w:r w:rsidRPr="00E306D1">
              <w:rPr>
                <w:rFonts w:asciiTheme="minorHAnsi" w:eastAsiaTheme="minorEastAsia" w:hAnsi="Arial" w:cstheme="minorBidi"/>
                <w:kern w:val="24"/>
                <w:sz w:val="16"/>
                <w:szCs w:val="16"/>
              </w:rPr>
              <w:t xml:space="preserve"> og forbedre en sikkerhetspraksis som skal beskytte kritiske forretningsprosesser og IT-eiendeler i hele virksomheten. Kostnadene dekker: Utvikling og vedlikehold av effektiv programstyring, kommunikasjon og interessenthåndtering, utarbeidelse av mål og strategier for IT-sikkerhet og risikostyring, definere, kommunisere og håndheve sikkerhetspolitikk, planlegge IT-sikkerhetsbudsjetter og -ressursbruk, inkludert talentadministrasjon og bruk av profesjonelle tjenester samt evaluering og forbedring av programmers modenhet og ytelse.</w:t>
            </w:r>
          </w:p>
        </w:tc>
      </w:tr>
      <w:tr w:rsidR="00107E4F" w:rsidRPr="00545C02" w14:paraId="4CE3ADFB" w14:textId="77777777" w:rsidTr="00557966">
        <w:tc>
          <w:tcPr>
            <w:tcW w:w="2065" w:type="dxa"/>
            <w:vAlign w:val="center"/>
          </w:tcPr>
          <w:p w14:paraId="4BBDF1DC"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rPr>
            </w:pPr>
            <w:r w:rsidRPr="00557966">
              <w:rPr>
                <w:rFonts w:asciiTheme="minorHAnsi" w:eastAsiaTheme="minorEastAsia" w:hAnsi="Arial" w:cstheme="minorBidi"/>
                <w:b/>
                <w:kern w:val="24"/>
                <w:sz w:val="16"/>
                <w:szCs w:val="16"/>
              </w:rPr>
              <w:t>IT-tjenestekontinuitet</w:t>
            </w:r>
          </w:p>
        </w:tc>
        <w:tc>
          <w:tcPr>
            <w:tcW w:w="7337" w:type="dxa"/>
          </w:tcPr>
          <w:p w14:paraId="50F472C4"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Bruk av alternative nettverkskretser for å gjenopprette kommunikasjonskanaler hvis de primære kanalene er frakoblet eller ikke fungerer. Metodene og prosedyrene for å returnere et datasenter til full drift etter et katastrofalt avbrudd (f.eks. Inkludert gjenoppretting av tapte data). Merk: For at IT-eiendeler skal betraktes som en del av IT-tjenestekontinuitet, kreves det at de er i en aktiv / passiv tilstand der produksjonsfeil oppstår på inaktiv standbysystem /-plassering. Personellkostnadene dekker kun IT-personell som har vært involvert i arbeidet.</w:t>
            </w:r>
          </w:p>
        </w:tc>
      </w:tr>
      <w:tr w:rsidR="00107E4F" w:rsidRPr="00545C02" w14:paraId="3360AB8E" w14:textId="77777777" w:rsidTr="00557966">
        <w:tc>
          <w:tcPr>
            <w:tcW w:w="2065" w:type="dxa"/>
            <w:vAlign w:val="center"/>
          </w:tcPr>
          <w:p w14:paraId="55965BC9"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"Run"</w:t>
            </w:r>
          </w:p>
        </w:tc>
        <w:tc>
          <w:tcPr>
            <w:tcW w:w="7337" w:type="dxa"/>
          </w:tcPr>
          <w:p w14:paraId="044C138D"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bCs/>
                <w:kern w:val="24"/>
                <w:sz w:val="16"/>
                <w:szCs w:val="16"/>
              </w:rPr>
              <w:t>IKT-kostnader knyttet til "kontinuerlig drift"; sørge for at IKT opererer som normalt. Kostnader som benyttes her fører ikke til direkte økning i omsetning eller bidrar til å nå nye virksomhetsmål, men til vedlikehold av funksjoner og krav.</w:t>
            </w:r>
          </w:p>
          <w:p w14:paraId="7596C06A"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bCs/>
                <w:kern w:val="24"/>
                <w:sz w:val="16"/>
                <w:szCs w:val="16"/>
              </w:rPr>
              <w:t xml:space="preserve">Begrep som benyttes for å illustrere hva som menes med "Run" er: "dag-til-dag oppgaver", "business as </w:t>
            </w:r>
            <w:proofErr w:type="spellStart"/>
            <w:r w:rsidRPr="00B614C4">
              <w:rPr>
                <w:rFonts w:asciiTheme="minorHAnsi" w:eastAsiaTheme="minorEastAsia" w:hAnsi="Arial" w:cstheme="minorBidi"/>
                <w:bCs/>
                <w:kern w:val="24"/>
                <w:sz w:val="16"/>
                <w:szCs w:val="16"/>
              </w:rPr>
              <w:t>usual</w:t>
            </w:r>
            <w:proofErr w:type="spellEnd"/>
            <w:r w:rsidRPr="00B614C4">
              <w:rPr>
                <w:rFonts w:asciiTheme="minorHAnsi" w:eastAsiaTheme="minorEastAsia" w:hAnsi="Arial" w:cstheme="minorBidi"/>
                <w:bCs/>
                <w:kern w:val="24"/>
                <w:sz w:val="16"/>
                <w:szCs w:val="16"/>
              </w:rPr>
              <w:t>" og "holde lysene på" – dette vil inkludere og fornye/modernisere eksisterende funksjonalitet. Innføres det ny funksjonalitet for virksomheten gjennom arbeidet, allokeres det til «</w:t>
            </w:r>
            <w:proofErr w:type="spellStart"/>
            <w:r w:rsidRPr="00B614C4">
              <w:rPr>
                <w:rFonts w:asciiTheme="minorHAnsi" w:eastAsiaTheme="minorEastAsia" w:hAnsi="Arial" w:cstheme="minorBidi"/>
                <w:bCs/>
                <w:kern w:val="24"/>
                <w:sz w:val="16"/>
                <w:szCs w:val="16"/>
              </w:rPr>
              <w:t>grow</w:t>
            </w:r>
            <w:proofErr w:type="spellEnd"/>
            <w:r w:rsidRPr="00B614C4">
              <w:rPr>
                <w:rFonts w:asciiTheme="minorHAnsi" w:eastAsiaTheme="minorEastAsia" w:hAnsi="Arial" w:cstheme="minorBidi"/>
                <w:bCs/>
                <w:kern w:val="24"/>
                <w:sz w:val="16"/>
                <w:szCs w:val="16"/>
              </w:rPr>
              <w:t>».</w:t>
            </w:r>
            <w:r w:rsidRPr="00B614C4">
              <w:rPr>
                <w:rFonts w:asciiTheme="minorHAnsi" w:eastAsiaTheme="minorEastAsia" w:hAnsi="Arial" w:cstheme="minorBidi"/>
                <w:bCs/>
                <w:kern w:val="24"/>
                <w:sz w:val="16"/>
                <w:szCs w:val="16"/>
              </w:rPr>
              <w:br/>
              <w:t>Aktiviteter som inngår i "run" er f.eks.; infrastruktur og drift, sikkerhet, etterlevelse, virksomhetsstøtte, IKT finansiell styring og applikasjonsforvaltning.</w:t>
            </w:r>
          </w:p>
        </w:tc>
      </w:tr>
      <w:tr w:rsidR="00107E4F" w:rsidRPr="00545C02" w14:paraId="6DA3FAF8" w14:textId="77777777" w:rsidTr="00557966">
        <w:tc>
          <w:tcPr>
            <w:tcW w:w="2065" w:type="dxa"/>
            <w:vAlign w:val="center"/>
          </w:tcPr>
          <w:p w14:paraId="1EA2229B"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lastRenderedPageBreak/>
              <w:t>"</w:t>
            </w:r>
            <w:proofErr w:type="spellStart"/>
            <w:r w:rsidRPr="00557966">
              <w:rPr>
                <w:rFonts w:asciiTheme="minorHAnsi" w:eastAsiaTheme="minorEastAsia" w:hAnsi="Arial" w:cstheme="minorBidi"/>
                <w:b/>
                <w:kern w:val="24"/>
                <w:sz w:val="16"/>
                <w:szCs w:val="16"/>
              </w:rPr>
              <w:t>Grow</w:t>
            </w:r>
            <w:proofErr w:type="spellEnd"/>
            <w:r w:rsidRPr="00557966">
              <w:rPr>
                <w:rFonts w:asciiTheme="minorHAnsi" w:eastAsiaTheme="minorEastAsia" w:hAnsi="Arial" w:cstheme="minorBidi"/>
                <w:b/>
                <w:kern w:val="24"/>
                <w:sz w:val="16"/>
                <w:szCs w:val="16"/>
              </w:rPr>
              <w:t>"</w:t>
            </w:r>
          </w:p>
        </w:tc>
        <w:tc>
          <w:tcPr>
            <w:tcW w:w="7337" w:type="dxa"/>
          </w:tcPr>
          <w:p w14:paraId="4D165ABE"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 xml:space="preserve">IKT-kostnader som bidrar til </w:t>
            </w:r>
            <w:r w:rsidRPr="00B614C4">
              <w:rPr>
                <w:rFonts w:asciiTheme="minorHAnsi" w:eastAsiaTheme="minorEastAsia" w:hAnsi="Arial" w:cstheme="minorBidi"/>
                <w:bCs/>
                <w:kern w:val="24"/>
                <w:sz w:val="16"/>
                <w:szCs w:val="16"/>
              </w:rPr>
              <w:t>vekst i virksomheten</w:t>
            </w:r>
            <w:r w:rsidRPr="00B614C4">
              <w:rPr>
                <w:rFonts w:asciiTheme="minorHAnsi" w:eastAsiaTheme="minorEastAsia" w:hAnsi="Arial" w:cstheme="minorBidi"/>
                <w:kern w:val="24"/>
                <w:sz w:val="16"/>
                <w:szCs w:val="16"/>
              </w:rPr>
              <w:t xml:space="preserve">; å utvikle og forbedre IKT-systemer for å støtte vekst i virksomheten (typisk er dette organisk vekst eller forbedring av eksisterende virksomhetsprosesser). Dette inkluderer alle investeringer som bidrar til å øke eksisterende kapabiliteter, bidrar til økt differensiering eller bidrar til at virksomheten blir mer effektiv med like prosesser. </w:t>
            </w:r>
          </w:p>
        </w:tc>
      </w:tr>
      <w:tr w:rsidR="00107E4F" w:rsidRPr="00545C02" w14:paraId="54EEF932" w14:textId="77777777" w:rsidTr="00557966">
        <w:tc>
          <w:tcPr>
            <w:tcW w:w="2065" w:type="dxa"/>
            <w:vAlign w:val="center"/>
          </w:tcPr>
          <w:p w14:paraId="46DFF507"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"Transform"</w:t>
            </w:r>
          </w:p>
        </w:tc>
        <w:tc>
          <w:tcPr>
            <w:tcW w:w="7337" w:type="dxa"/>
          </w:tcPr>
          <w:p w14:paraId="18C7EDFA"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 xml:space="preserve">IKT-kostnader knyttet til å </w:t>
            </w:r>
            <w:proofErr w:type="gramStart"/>
            <w:r w:rsidRPr="00B614C4">
              <w:rPr>
                <w:rFonts w:asciiTheme="minorHAnsi" w:eastAsiaTheme="minorEastAsia" w:hAnsi="Arial" w:cstheme="minorBidi"/>
                <w:kern w:val="24"/>
                <w:sz w:val="16"/>
                <w:szCs w:val="16"/>
              </w:rPr>
              <w:t>implementere</w:t>
            </w:r>
            <w:proofErr w:type="gramEnd"/>
            <w:r w:rsidRPr="00B614C4">
              <w:rPr>
                <w:rFonts w:asciiTheme="minorHAnsi" w:eastAsiaTheme="minorEastAsia" w:hAnsi="Arial" w:cstheme="minorBidi"/>
                <w:kern w:val="24"/>
                <w:sz w:val="16"/>
                <w:szCs w:val="16"/>
              </w:rPr>
              <w:t xml:space="preserve"> informasjons- og teknologisystemer som gjør at virksomheten kan levere </w:t>
            </w:r>
            <w:r w:rsidRPr="00B614C4">
              <w:rPr>
                <w:rFonts w:asciiTheme="minorHAnsi" w:eastAsiaTheme="minorEastAsia" w:hAnsi="Arial" w:cstheme="minorBidi"/>
                <w:bCs/>
                <w:kern w:val="24"/>
                <w:sz w:val="16"/>
                <w:szCs w:val="16"/>
              </w:rPr>
              <w:t>nye typer helsetjenester</w:t>
            </w:r>
            <w:r w:rsidRPr="00B614C4">
              <w:rPr>
                <w:rFonts w:asciiTheme="minorHAnsi" w:eastAsiaTheme="minorEastAsia" w:hAnsi="Arial" w:cstheme="minorBidi"/>
                <w:kern w:val="24"/>
                <w:sz w:val="16"/>
                <w:szCs w:val="16"/>
              </w:rPr>
              <w:t xml:space="preserve">, skape </w:t>
            </w:r>
            <w:r w:rsidRPr="00B614C4">
              <w:rPr>
                <w:rFonts w:asciiTheme="minorHAnsi" w:eastAsiaTheme="minorEastAsia" w:hAnsi="Arial" w:cstheme="minorBidi"/>
                <w:bCs/>
                <w:kern w:val="24"/>
                <w:sz w:val="16"/>
                <w:szCs w:val="16"/>
              </w:rPr>
              <w:t xml:space="preserve">ny verdi </w:t>
            </w:r>
            <w:r w:rsidRPr="00B614C4">
              <w:rPr>
                <w:rFonts w:asciiTheme="minorHAnsi" w:eastAsiaTheme="minorEastAsia" w:hAnsi="Arial" w:cstheme="minorBidi"/>
                <w:kern w:val="24"/>
                <w:sz w:val="16"/>
                <w:szCs w:val="16"/>
              </w:rPr>
              <w:t xml:space="preserve">eller etablere </w:t>
            </w:r>
            <w:r w:rsidRPr="00B614C4">
              <w:rPr>
                <w:rFonts w:asciiTheme="minorHAnsi" w:eastAsiaTheme="minorEastAsia" w:hAnsi="Arial" w:cstheme="minorBidi"/>
                <w:bCs/>
                <w:kern w:val="24"/>
                <w:sz w:val="16"/>
                <w:szCs w:val="16"/>
              </w:rPr>
              <w:t>nye forretningsmodeller eller -prosesser</w:t>
            </w:r>
            <w:r w:rsidRPr="00B614C4">
              <w:rPr>
                <w:rFonts w:asciiTheme="minorHAnsi" w:eastAsiaTheme="minorEastAsia" w:hAnsi="Arial" w:cstheme="minorBidi"/>
                <w:kern w:val="24"/>
                <w:sz w:val="16"/>
                <w:szCs w:val="16"/>
              </w:rPr>
              <w:t xml:space="preserve">. </w:t>
            </w:r>
            <w:r w:rsidRPr="00B614C4">
              <w:rPr>
                <w:rFonts w:asciiTheme="minorHAnsi" w:eastAsiaTheme="minorEastAsia" w:hAnsi="Arial" w:cstheme="minorBidi"/>
                <w:kern w:val="24"/>
                <w:sz w:val="16"/>
                <w:szCs w:val="16"/>
              </w:rPr>
              <w:br/>
              <w:t>Aktiviteter som inngår i "</w:t>
            </w:r>
            <w:proofErr w:type="spellStart"/>
            <w:r w:rsidRPr="00B614C4">
              <w:rPr>
                <w:rFonts w:asciiTheme="minorHAnsi" w:eastAsiaTheme="minorEastAsia" w:hAnsi="Arial" w:cstheme="minorBidi"/>
                <w:kern w:val="24"/>
                <w:sz w:val="16"/>
                <w:szCs w:val="16"/>
              </w:rPr>
              <w:t>transform</w:t>
            </w:r>
            <w:proofErr w:type="spellEnd"/>
            <w:r w:rsidRPr="00B614C4">
              <w:rPr>
                <w:rFonts w:asciiTheme="minorHAnsi" w:eastAsiaTheme="minorEastAsia" w:hAnsi="Arial" w:cstheme="minorBidi"/>
                <w:kern w:val="24"/>
                <w:sz w:val="16"/>
                <w:szCs w:val="16"/>
              </w:rPr>
              <w:t xml:space="preserve">" er f.eks.; utvikling av helt nye helsetjenester som fundamentalt endrer tjenestene som leveres til pasientene eller hverdagen til helsepersonell. </w:t>
            </w:r>
          </w:p>
          <w:p w14:paraId="490160E4"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Eksempelvis ville innføringen av elektronisk pasientjournal (EPJ) vært «</w:t>
            </w:r>
            <w:proofErr w:type="spellStart"/>
            <w:r w:rsidRPr="00B614C4">
              <w:rPr>
                <w:rFonts w:asciiTheme="minorHAnsi" w:eastAsiaTheme="minorEastAsia" w:hAnsi="Arial" w:cstheme="minorBidi"/>
                <w:kern w:val="24"/>
                <w:sz w:val="16"/>
                <w:szCs w:val="16"/>
              </w:rPr>
              <w:t>transform</w:t>
            </w:r>
            <w:proofErr w:type="spellEnd"/>
            <w:r w:rsidRPr="00B614C4">
              <w:rPr>
                <w:rFonts w:asciiTheme="minorHAnsi" w:eastAsiaTheme="minorEastAsia" w:hAnsi="Arial" w:cstheme="minorBidi"/>
                <w:kern w:val="24"/>
                <w:sz w:val="16"/>
                <w:szCs w:val="16"/>
              </w:rPr>
              <w:t>» første gang det ble innført, mens utskiftning av eksisterende EPJ til et nytt EPJ med ny forretningsfunksjonalitet vil defineres som «</w:t>
            </w:r>
            <w:proofErr w:type="spellStart"/>
            <w:r w:rsidRPr="00B614C4">
              <w:rPr>
                <w:rFonts w:asciiTheme="minorHAnsi" w:eastAsiaTheme="minorEastAsia" w:hAnsi="Arial" w:cstheme="minorBidi"/>
                <w:kern w:val="24"/>
                <w:sz w:val="16"/>
                <w:szCs w:val="16"/>
              </w:rPr>
              <w:t>grow</w:t>
            </w:r>
            <w:proofErr w:type="spellEnd"/>
            <w:r w:rsidRPr="00B614C4">
              <w:rPr>
                <w:rFonts w:asciiTheme="minorHAnsi" w:eastAsiaTheme="minorEastAsia" w:hAnsi="Arial" w:cstheme="minorBidi"/>
                <w:kern w:val="24"/>
                <w:sz w:val="16"/>
                <w:szCs w:val="16"/>
              </w:rPr>
              <w:t>», mens utskiftninger av infrastruktur til eksisterende EPJ eller modernisere EPJ-plattformen vil defineres som «run».</w:t>
            </w:r>
          </w:p>
        </w:tc>
      </w:tr>
    </w:tbl>
    <w:p w14:paraId="5C0BB665" w14:textId="77777777" w:rsidR="0057791B" w:rsidRDefault="0057791B" w:rsidP="0057791B"/>
    <w:p w14:paraId="7FDD1CEA" w14:textId="10A4BC17" w:rsidR="008A35A5" w:rsidRDefault="00CB6073" w:rsidP="00FA3715">
      <w:pPr>
        <w:pStyle w:val="Overskrift3"/>
      </w:pPr>
      <w:bookmarkStart w:id="236" w:name="_Toc146784552"/>
      <w:r>
        <w:t xml:space="preserve">Kategoriseringer og definisjoner </w:t>
      </w:r>
      <w:r w:rsidR="0006691D">
        <w:t>for analyse av RGT-initiativer</w:t>
      </w:r>
      <w:bookmarkEnd w:id="236"/>
    </w:p>
    <w:p w14:paraId="21A63168" w14:textId="77777777" w:rsidR="008A35A5" w:rsidRDefault="008A35A5" w:rsidP="0057791B"/>
    <w:p w14:paraId="64219AA6" w14:textId="77777777" w:rsidR="0006691D" w:rsidRPr="001122F8" w:rsidRDefault="0006691D" w:rsidP="0006691D">
      <w:r w:rsidRPr="001122F8">
        <w:t>Følgene gevinstkategorier ble definert med utgangspunkt i klynging av gevinstene rapportert til nasjonal portefølje. Denne klassifiseringen ble utdypet med hvilken målgruppe som primært ble oppgitt for initiativet. Merk at ett initiativ i denne analysen kan adressere flere gevinstområder, men kun én målgruppe.</w:t>
      </w:r>
    </w:p>
    <w:tbl>
      <w:tblPr>
        <w:tblStyle w:val="Tabellrutenett"/>
        <w:tblW w:w="0" w:type="auto"/>
        <w:tblLook w:val="04A0" w:firstRow="1" w:lastRow="0" w:firstColumn="1" w:lastColumn="0" w:noHBand="0" w:noVBand="1"/>
      </w:tblPr>
      <w:tblGrid>
        <w:gridCol w:w="2785"/>
        <w:gridCol w:w="6275"/>
      </w:tblGrid>
      <w:tr w:rsidR="0006691D" w:rsidRPr="008467C7" w14:paraId="0EDCD3D6" w14:textId="77777777" w:rsidTr="00881F71">
        <w:tc>
          <w:tcPr>
            <w:tcW w:w="2785" w:type="dxa"/>
          </w:tcPr>
          <w:p w14:paraId="7836B954" w14:textId="77777777" w:rsidR="0006691D" w:rsidRPr="001122F8" w:rsidRDefault="0006691D" w:rsidP="00881F71">
            <w:pPr>
              <w:rPr>
                <w:b/>
                <w:bCs/>
              </w:rPr>
            </w:pPr>
            <w:r w:rsidRPr="001122F8">
              <w:rPr>
                <w:b/>
                <w:bCs/>
              </w:rPr>
              <w:t>Gevinstkategori</w:t>
            </w:r>
          </w:p>
        </w:tc>
        <w:tc>
          <w:tcPr>
            <w:tcW w:w="6275" w:type="dxa"/>
          </w:tcPr>
          <w:p w14:paraId="6670C25A" w14:textId="77777777" w:rsidR="0006691D" w:rsidRPr="001122F8" w:rsidRDefault="0006691D" w:rsidP="00881F71">
            <w:pPr>
              <w:rPr>
                <w:b/>
                <w:bCs/>
              </w:rPr>
            </w:pPr>
            <w:r w:rsidRPr="001122F8">
              <w:rPr>
                <w:b/>
                <w:bCs/>
              </w:rPr>
              <w:t>Beskrivelse</w:t>
            </w:r>
          </w:p>
        </w:tc>
      </w:tr>
      <w:tr w:rsidR="0006691D" w:rsidRPr="008467C7" w14:paraId="01711F34" w14:textId="77777777" w:rsidTr="00881F71">
        <w:tc>
          <w:tcPr>
            <w:tcW w:w="2785" w:type="dxa"/>
          </w:tcPr>
          <w:p w14:paraId="48B763C0"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Effektiviseringsgevinster for sektor</w:t>
            </w:r>
          </w:p>
        </w:tc>
        <w:tc>
          <w:tcPr>
            <w:tcW w:w="6275" w:type="dxa"/>
          </w:tcPr>
          <w:p w14:paraId="3E7AA0A1" w14:textId="77777777" w:rsidR="0006691D" w:rsidRPr="001122F8" w:rsidRDefault="0006691D" w:rsidP="00881F71">
            <w:r w:rsidRPr="001122F8">
              <w:t>Omfatter gevinster der det er skissert en effektiviseringsgevinst i sektoren, uavhengig av om denne treffer helsepersonell, IKT-miljøer eller støttefunksjoner. Mange av disse gevinstene muliggjøres gjennom digitalisering av arbeidsprosesser.</w:t>
            </w:r>
          </w:p>
        </w:tc>
      </w:tr>
      <w:tr w:rsidR="0006691D" w:rsidRPr="008467C7" w14:paraId="3390C7F6" w14:textId="77777777" w:rsidTr="00881F71">
        <w:tc>
          <w:tcPr>
            <w:tcW w:w="2785" w:type="dxa"/>
          </w:tcPr>
          <w:p w14:paraId="6BC6B1C7" w14:textId="77777777" w:rsidR="0006691D" w:rsidRPr="001122F8" w:rsidRDefault="0006691D" w:rsidP="00881F71">
            <w:r w:rsidRPr="001122F8">
              <w:rPr>
                <w:rFonts w:ascii="Calibri" w:eastAsia="Times New Roman" w:hAnsi="Calibri" w:cs="Calibri"/>
                <w:color w:val="000000"/>
                <w:lang w:eastAsia="nb-NO"/>
              </w:rPr>
              <w:t>Datakvalitet, bruk og tilgjengelighet</w:t>
            </w:r>
          </w:p>
        </w:tc>
        <w:tc>
          <w:tcPr>
            <w:tcW w:w="6275" w:type="dxa"/>
          </w:tcPr>
          <w:p w14:paraId="409F1FB9" w14:textId="77777777" w:rsidR="0006691D" w:rsidRPr="001122F8" w:rsidRDefault="0006691D" w:rsidP="00881F71">
            <w:r w:rsidRPr="001122F8">
              <w:t>Omfatter gevinster som beskrives gjennom en heving i datakvalitet, gjennom bruk av data på nye måter, eller gjennom å tilgjengeliggjøre data til helsearbeidere, forskning eller styring. Gevinstene er ikke begrenset til en bestemt type data, og omfatter både helsedata, persondata og styringsdata.</w:t>
            </w:r>
          </w:p>
        </w:tc>
      </w:tr>
      <w:tr w:rsidR="0006691D" w:rsidRPr="008467C7" w14:paraId="0F13E3B8" w14:textId="77777777" w:rsidTr="00881F71">
        <w:tc>
          <w:tcPr>
            <w:tcW w:w="2785" w:type="dxa"/>
          </w:tcPr>
          <w:p w14:paraId="5453F458" w14:textId="77777777" w:rsidR="0006691D" w:rsidRPr="001122F8" w:rsidRDefault="0006691D" w:rsidP="00881F71">
            <w:r w:rsidRPr="001122F8">
              <w:rPr>
                <w:rFonts w:ascii="Calibri" w:eastAsia="Times New Roman" w:hAnsi="Calibri" w:cs="Calibri"/>
                <w:color w:val="000000"/>
                <w:lang w:eastAsia="nb-NO"/>
              </w:rPr>
              <w:t>Kostnadsbesparelser</w:t>
            </w:r>
          </w:p>
        </w:tc>
        <w:tc>
          <w:tcPr>
            <w:tcW w:w="6275" w:type="dxa"/>
          </w:tcPr>
          <w:p w14:paraId="33D1B4DA" w14:textId="77777777" w:rsidR="0006691D" w:rsidRPr="001122F8" w:rsidRDefault="0006691D" w:rsidP="00881F71">
            <w:r w:rsidRPr="001122F8">
              <w:t xml:space="preserve">Omfatter gevinster som er eksplisitt beskrevet som en kostnadsbesparelse for sektoren. </w:t>
            </w:r>
          </w:p>
        </w:tc>
      </w:tr>
      <w:tr w:rsidR="0006691D" w:rsidRPr="008467C7" w14:paraId="43E09261" w14:textId="77777777" w:rsidTr="00881F71">
        <w:tc>
          <w:tcPr>
            <w:tcW w:w="2785" w:type="dxa"/>
          </w:tcPr>
          <w:p w14:paraId="0913B921" w14:textId="77777777" w:rsidR="0006691D" w:rsidRPr="001122F8" w:rsidRDefault="0006691D" w:rsidP="00881F71">
            <w:r w:rsidRPr="001122F8">
              <w:rPr>
                <w:rFonts w:ascii="Calibri" w:eastAsia="Times New Roman" w:hAnsi="Calibri" w:cs="Calibri"/>
                <w:color w:val="000000"/>
                <w:lang w:eastAsia="nb-NO"/>
              </w:rPr>
              <w:t>Økt kvalitet på helsetjenester</w:t>
            </w:r>
          </w:p>
        </w:tc>
        <w:tc>
          <w:tcPr>
            <w:tcW w:w="6275" w:type="dxa"/>
          </w:tcPr>
          <w:p w14:paraId="54B1CBB4" w14:textId="77777777" w:rsidR="0006691D" w:rsidRPr="001122F8" w:rsidRDefault="0006691D" w:rsidP="00881F71">
            <w:r w:rsidRPr="001122F8">
              <w:t>Omfatter gevinster som er beskrevet gjennom økt kvalitet på helsetjenester, uavhengig av hvem sluttbrukeren for disse tjenestene er.</w:t>
            </w:r>
          </w:p>
        </w:tc>
      </w:tr>
      <w:tr w:rsidR="0006691D" w:rsidRPr="008467C7" w14:paraId="6D07CF28" w14:textId="77777777" w:rsidTr="00881F71">
        <w:tc>
          <w:tcPr>
            <w:tcW w:w="2785" w:type="dxa"/>
          </w:tcPr>
          <w:p w14:paraId="195C72D9" w14:textId="77777777" w:rsidR="0006691D" w:rsidRPr="001122F8" w:rsidRDefault="0006691D" w:rsidP="00881F71">
            <w:r w:rsidRPr="001122F8">
              <w:rPr>
                <w:rFonts w:ascii="Calibri" w:eastAsia="Times New Roman" w:hAnsi="Calibri" w:cs="Calibri"/>
                <w:color w:val="000000"/>
                <w:lang w:eastAsia="nb-NO"/>
              </w:rPr>
              <w:t>Økt brukeropplevelse for publikum</w:t>
            </w:r>
          </w:p>
        </w:tc>
        <w:tc>
          <w:tcPr>
            <w:tcW w:w="6275" w:type="dxa"/>
          </w:tcPr>
          <w:p w14:paraId="0AAEBFFC" w14:textId="77777777" w:rsidR="0006691D" w:rsidRPr="001122F8" w:rsidRDefault="0006691D" w:rsidP="00881F71">
            <w:r w:rsidRPr="001122F8">
              <w:t>Omfatter gevinster som er beskrevet gjennom en bedret brukeropplevelse for pasient, pårørende eller innbygger</w:t>
            </w:r>
          </w:p>
        </w:tc>
      </w:tr>
      <w:tr w:rsidR="0006691D" w:rsidRPr="008467C7" w14:paraId="3664A030" w14:textId="77777777" w:rsidTr="00881F71">
        <w:tc>
          <w:tcPr>
            <w:tcW w:w="2785" w:type="dxa"/>
          </w:tcPr>
          <w:p w14:paraId="5FA31C9A"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Pasientsikkerhet</w:t>
            </w:r>
          </w:p>
        </w:tc>
        <w:tc>
          <w:tcPr>
            <w:tcW w:w="6275" w:type="dxa"/>
          </w:tcPr>
          <w:p w14:paraId="0F8D2F84" w14:textId="77777777" w:rsidR="0006691D" w:rsidRPr="001122F8" w:rsidRDefault="0006691D" w:rsidP="00881F71">
            <w:r w:rsidRPr="001122F8">
              <w:t>Omfatter gevinster som er beskrevet gjennom en styrking av pasientsikkerheten og håndtering av helseopplysninger.</w:t>
            </w:r>
          </w:p>
        </w:tc>
      </w:tr>
      <w:tr w:rsidR="0006691D" w:rsidRPr="00500DE5" w14:paraId="0FBA33CF" w14:textId="77777777" w:rsidTr="00881F71">
        <w:tc>
          <w:tcPr>
            <w:tcW w:w="2785" w:type="dxa"/>
          </w:tcPr>
          <w:p w14:paraId="4D6224FB"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IKT-sikkerhet</w:t>
            </w:r>
          </w:p>
        </w:tc>
        <w:tc>
          <w:tcPr>
            <w:tcW w:w="6275" w:type="dxa"/>
          </w:tcPr>
          <w:p w14:paraId="49319F54" w14:textId="77777777" w:rsidR="0006691D" w:rsidRPr="001122F8" w:rsidRDefault="0006691D" w:rsidP="00881F71">
            <w:r w:rsidRPr="001122F8">
              <w:t>Omfatter gevinster som er beskrevet gjennom en styrking i IKT-sikkerhet og håndtering av personinformasjon.</w:t>
            </w:r>
          </w:p>
        </w:tc>
      </w:tr>
    </w:tbl>
    <w:p w14:paraId="734642FE" w14:textId="78C81471" w:rsidR="00734769" w:rsidRPr="000357C1" w:rsidRDefault="00734769" w:rsidP="000357C1"/>
    <w:p w14:paraId="1AA681DC" w14:textId="41B41F8F" w:rsidR="00C4587E" w:rsidRPr="00B1282C" w:rsidRDefault="000357C1" w:rsidP="00B1282C">
      <w:pPr>
        <w:tabs>
          <w:tab w:val="clear" w:pos="357"/>
        </w:tabs>
        <w:spacing w:after="0" w:line="240" w:lineRule="auto"/>
        <w:rPr>
          <w:rFonts w:asciiTheme="majorHAnsi" w:eastAsiaTheme="majorEastAsia" w:hAnsiTheme="majorHAnsi" w:cstheme="majorBidi"/>
          <w:b/>
          <w:sz w:val="34"/>
          <w:szCs w:val="26"/>
        </w:rPr>
      </w:pPr>
      <w:r w:rsidRPr="00545C02">
        <w:rPr>
          <w:noProof/>
          <w:highlight w:val="yellow"/>
        </w:rPr>
        <mc:AlternateContent>
          <mc:Choice Requires="wps">
            <w:drawing>
              <wp:anchor distT="0" distB="0" distL="114300" distR="114300" simplePos="0" relativeHeight="251662346" behindDoc="0" locked="0" layoutInCell="1" allowOverlap="1" wp14:anchorId="724032B1" wp14:editId="08F7FF75">
                <wp:simplePos x="0" y="0"/>
                <wp:positionH relativeFrom="column">
                  <wp:posOffset>-270510</wp:posOffset>
                </wp:positionH>
                <wp:positionV relativeFrom="paragraph">
                  <wp:posOffset>6782435</wp:posOffset>
                </wp:positionV>
                <wp:extent cx="2374265" cy="1403985"/>
                <wp:effectExtent l="0" t="0" r="0" b="3175"/>
                <wp:wrapNone/>
                <wp:docPr id="307"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9D40317" w14:textId="77777777" w:rsidR="00AD1FFF" w:rsidRPr="003F2FF4" w:rsidRDefault="00AD1FFF" w:rsidP="00AD1FFF">
                            <w:pPr>
                              <w:pStyle w:val="Infotekst"/>
                              <w:rPr>
                                <w:b/>
                                <w:bCs/>
                                <w:color w:val="FFFFFF"/>
                              </w:rPr>
                            </w:pPr>
                            <w:r w:rsidRPr="003F2FF4">
                              <w:rPr>
                                <w:b/>
                                <w:bCs/>
                                <w:color w:val="FFFFFF"/>
                              </w:rPr>
                              <w:t>Besøksadresse</w:t>
                            </w:r>
                          </w:p>
                          <w:p w14:paraId="058773C2" w14:textId="77777777" w:rsidR="00AD1FFF" w:rsidRPr="003F2FF4" w:rsidRDefault="00AD1FFF" w:rsidP="00AD1FFF">
                            <w:pPr>
                              <w:pStyle w:val="Infotekst"/>
                              <w:rPr>
                                <w:color w:val="FFFFFF"/>
                              </w:rPr>
                            </w:pPr>
                            <w:r w:rsidRPr="003F2FF4">
                              <w:rPr>
                                <w:color w:val="FFFFFF"/>
                              </w:rPr>
                              <w:t>Verkstedveien 1</w:t>
                            </w:r>
                          </w:p>
                          <w:p w14:paraId="38708A41" w14:textId="77777777" w:rsidR="00AD1FFF" w:rsidRPr="003F2FF4" w:rsidRDefault="00AD1FFF" w:rsidP="00AD1FFF">
                            <w:pPr>
                              <w:pStyle w:val="Infotekst"/>
                              <w:rPr>
                                <w:color w:val="FFFFFF"/>
                              </w:rPr>
                            </w:pPr>
                            <w:r w:rsidRPr="003F2FF4">
                              <w:rPr>
                                <w:color w:val="FFFFFF"/>
                              </w:rPr>
                              <w:t>0277 Oslo</w:t>
                            </w:r>
                          </w:p>
                          <w:p w14:paraId="5074C2F8" w14:textId="77777777" w:rsidR="00AD1FFF" w:rsidRPr="003F2FF4" w:rsidRDefault="00AD1FFF" w:rsidP="00AD1FFF">
                            <w:pPr>
                              <w:pStyle w:val="Infotekst"/>
                              <w:rPr>
                                <w:color w:val="FFFFFF"/>
                              </w:rPr>
                            </w:pPr>
                          </w:p>
                          <w:p w14:paraId="2A687864" w14:textId="77777777" w:rsidR="00AD1FFF" w:rsidRPr="003F2FF4" w:rsidRDefault="00AD1FFF" w:rsidP="00AD1FFF">
                            <w:pPr>
                              <w:pStyle w:val="Infotekst"/>
                              <w:rPr>
                                <w:b/>
                                <w:bCs/>
                                <w:color w:val="FFFFFF"/>
                              </w:rPr>
                            </w:pPr>
                            <w:r>
                              <w:rPr>
                                <w:b/>
                                <w:bCs/>
                                <w:color w:val="FFFFFF"/>
                              </w:rPr>
                              <w:t>Kontakt</w:t>
                            </w:r>
                          </w:p>
                          <w:p w14:paraId="04DF5512" w14:textId="77777777" w:rsidR="00AD1FFF" w:rsidRPr="003F2FF4" w:rsidRDefault="00AD1FFF" w:rsidP="00AD1FFF">
                            <w:pPr>
                              <w:pStyle w:val="Infotekst"/>
                              <w:rPr>
                                <w:color w:val="FFFFFF"/>
                              </w:rPr>
                            </w:pPr>
                            <w:r>
                              <w:rPr>
                                <w:color w:val="FFFFFF"/>
                              </w:rPr>
                              <w:t>postmottak@ehelse.no</w:t>
                            </w:r>
                          </w:p>
                          <w:p w14:paraId="06CF449F" w14:textId="77777777" w:rsidR="00AD1FFF" w:rsidRDefault="00AD1FFF" w:rsidP="00AD1FF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4032B1" id="_x0000_s1031" type="#_x0000_t202" alt="&quot;&quot;" style="position:absolute;margin-left:-21.3pt;margin-top:534.05pt;width:186.95pt;height:110.55pt;z-index:2516623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" filled="f" stroked="f">
                <v:textbox style="mso-fit-shape-to-text:t">
                  <w:txbxContent>
                    <w:p w14:paraId="69D40317" w14:textId="77777777" w:rsidR="00AD1FFF" w:rsidRPr="003F2FF4" w:rsidRDefault="00AD1FFF" w:rsidP="00AD1FFF">
                      <w:pPr>
                        <w:pStyle w:val="Infotekst"/>
                        <w:rPr>
                          <w:b/>
                          <w:bCs/>
                          <w:color w:val="FFFFFF"/>
                        </w:rPr>
                      </w:pPr>
                      <w:r w:rsidRPr="003F2FF4">
                        <w:rPr>
                          <w:b/>
                          <w:bCs/>
                          <w:color w:val="FFFFFF"/>
                        </w:rPr>
                        <w:t>Besøksadresse</w:t>
                      </w:r>
                    </w:p>
                    <w:p w14:paraId="058773C2" w14:textId="77777777" w:rsidR="00AD1FFF" w:rsidRPr="003F2FF4" w:rsidRDefault="00AD1FFF" w:rsidP="00AD1FFF">
                      <w:pPr>
                        <w:pStyle w:val="Infotekst"/>
                        <w:rPr>
                          <w:color w:val="FFFFFF"/>
                        </w:rPr>
                      </w:pPr>
                      <w:r w:rsidRPr="003F2FF4">
                        <w:rPr>
                          <w:color w:val="FFFFFF"/>
                        </w:rPr>
                        <w:t>Verkstedveien 1</w:t>
                      </w:r>
                    </w:p>
                    <w:p w14:paraId="38708A41" w14:textId="77777777" w:rsidR="00AD1FFF" w:rsidRPr="003F2FF4" w:rsidRDefault="00AD1FFF" w:rsidP="00AD1FFF">
                      <w:pPr>
                        <w:pStyle w:val="Infotekst"/>
                        <w:rPr>
                          <w:color w:val="FFFFFF"/>
                        </w:rPr>
                      </w:pPr>
                      <w:r w:rsidRPr="003F2FF4">
                        <w:rPr>
                          <w:color w:val="FFFFFF"/>
                        </w:rPr>
                        <w:t>0277 Oslo</w:t>
                      </w:r>
                    </w:p>
                    <w:p w14:paraId="5074C2F8" w14:textId="77777777" w:rsidR="00AD1FFF" w:rsidRPr="003F2FF4" w:rsidRDefault="00AD1FFF" w:rsidP="00AD1FFF">
                      <w:pPr>
                        <w:pStyle w:val="Infotekst"/>
                        <w:rPr>
                          <w:color w:val="FFFFFF"/>
                        </w:rPr>
                      </w:pPr>
                    </w:p>
                    <w:p w14:paraId="2A687864" w14:textId="77777777" w:rsidR="00AD1FFF" w:rsidRPr="003F2FF4" w:rsidRDefault="00AD1FFF" w:rsidP="00AD1FFF">
                      <w:pPr>
                        <w:pStyle w:val="Infotekst"/>
                        <w:rPr>
                          <w:b/>
                          <w:bCs/>
                          <w:color w:val="FFFFFF"/>
                        </w:rPr>
                      </w:pPr>
                      <w:r>
                        <w:rPr>
                          <w:b/>
                          <w:bCs/>
                          <w:color w:val="FFFFFF"/>
                        </w:rPr>
                        <w:t>Kontakt</w:t>
                      </w:r>
                    </w:p>
                    <w:p w14:paraId="04DF5512" w14:textId="77777777" w:rsidR="00AD1FFF" w:rsidRPr="003F2FF4" w:rsidRDefault="00AD1FFF" w:rsidP="00AD1FFF">
                      <w:pPr>
                        <w:pStyle w:val="Infotekst"/>
                        <w:rPr>
                          <w:color w:val="FFFFFF"/>
                        </w:rPr>
                      </w:pPr>
                      <w:r>
                        <w:rPr>
                          <w:color w:val="FFFFFF"/>
                        </w:rPr>
                        <w:t>postmottak@ehelse.no</w:t>
                      </w:r>
                    </w:p>
                    <w:p w14:paraId="06CF449F" w14:textId="77777777" w:rsidR="00AD1FFF" w:rsidRDefault="00AD1FFF" w:rsidP="00AD1FFF"/>
                  </w:txbxContent>
                </v:textbox>
              </v:shape>
            </w:pict>
          </mc:Fallback>
        </mc:AlternateContent>
      </w:r>
      <w:r w:rsidRPr="00545C02">
        <w:rPr>
          <w:noProof/>
          <w:highlight w:val="yellow"/>
        </w:rPr>
        <w:drawing>
          <wp:anchor distT="0" distB="0" distL="114300" distR="114300" simplePos="0" relativeHeight="251661322" behindDoc="0" locked="0" layoutInCell="1" allowOverlap="1" wp14:anchorId="0384F929" wp14:editId="3CC3FF68">
            <wp:simplePos x="0" y="0"/>
            <wp:positionH relativeFrom="page">
              <wp:posOffset>622935</wp:posOffset>
            </wp:positionH>
            <wp:positionV relativeFrom="page">
              <wp:posOffset>7517765</wp:posOffset>
            </wp:positionV>
            <wp:extent cx="1773555" cy="133985"/>
            <wp:effectExtent l="0" t="0" r="0" b="0"/>
            <wp:wrapNone/>
            <wp:docPr id="216" name="Sistelogo_hv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istelogo_hvit">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773555" cy="133985"/>
                    </a:xfrm>
                    <a:prstGeom prst="rect">
                      <a:avLst/>
                    </a:prstGeom>
                  </pic:spPr>
                </pic:pic>
              </a:graphicData>
            </a:graphic>
          </wp:anchor>
        </w:drawing>
      </w:r>
      <w:r w:rsidR="00C44DC2" w:rsidRPr="00545C02">
        <w:rPr>
          <w:noProof/>
          <w:highlight w:val="yellow"/>
        </w:rPr>
        <mc:AlternateContent>
          <mc:Choice Requires="wps">
            <w:drawing>
              <wp:anchor distT="0" distB="0" distL="114300" distR="114300" simplePos="0" relativeHeight="251670538" behindDoc="1" locked="0" layoutInCell="1" allowOverlap="1" wp14:anchorId="516B7C63" wp14:editId="4C30A43E">
                <wp:simplePos x="0" y="0"/>
                <wp:positionH relativeFrom="page">
                  <wp:posOffset>635</wp:posOffset>
                </wp:positionH>
                <wp:positionV relativeFrom="page">
                  <wp:posOffset>635</wp:posOffset>
                </wp:positionV>
                <wp:extent cx="9148445" cy="10932795"/>
                <wp:effectExtent l="0" t="0" r="0" b="1905"/>
                <wp:wrapNone/>
                <wp:docPr id="20" name="Baksidefarge"/>
                <wp:cNvGraphicFramePr/>
                <a:graphic xmlns:a="http://schemas.openxmlformats.org/drawingml/2006/main">
                  <a:graphicData uri="http://schemas.microsoft.com/office/word/2010/wordprocessingShape">
                    <wps:wsp>
                      <wps:cNvSpPr/>
                      <wps:spPr>
                        <a:xfrm>
                          <a:off x="0" y="0"/>
                          <a:ext cx="9148445" cy="10932795"/>
                        </a:xfrm>
                        <a:prstGeom prst="rect">
                          <a:avLst/>
                        </a:prstGeom>
                        <a:solidFill>
                          <a:srgbClr val="0069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E373" id="Baksidefarge" o:spid="_x0000_s1026" style="position:absolute;margin-left:.05pt;margin-top:.05pt;width:720.35pt;height:860.85pt;z-index:-251645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" fillcolor="#0069e8" stroked="f" strokeweight="1pt">
                <w10:wrap anchorx="page" anchory="page"/>
              </v:rect>
            </w:pict>
          </mc:Fallback>
        </mc:AlternateContent>
      </w:r>
    </w:p>
    <w:sectPr w:rsidR="00C4587E" w:rsidRPr="00B1282C" w:rsidSect="00557966">
      <w:pgSz w:w="11906" w:h="16838" w:code="9"/>
      <w:pgMar w:top="1411" w:right="0" w:bottom="1411" w:left="1411" w:header="706" w:footer="288"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1CD64" w14:textId="77777777" w:rsidR="00024CB2" w:rsidRDefault="00024CB2" w:rsidP="008452EA">
      <w:r>
        <w:separator/>
      </w:r>
    </w:p>
    <w:p w14:paraId="40815576" w14:textId="77777777" w:rsidR="00024CB2" w:rsidRDefault="00024CB2"/>
  </w:endnote>
  <w:endnote w:type="continuationSeparator" w:id="0">
    <w:p w14:paraId="09FE3374" w14:textId="77777777" w:rsidR="00024CB2" w:rsidRDefault="00024CB2" w:rsidP="008452EA">
      <w:r>
        <w:continuationSeparator/>
      </w:r>
    </w:p>
    <w:p w14:paraId="7808B078" w14:textId="77777777" w:rsidR="00024CB2" w:rsidRDefault="00024CB2"/>
  </w:endnote>
  <w:endnote w:type="continuationNotice" w:id="1">
    <w:p w14:paraId="06FDC808" w14:textId="77777777" w:rsidR="00024CB2" w:rsidRDefault="00024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87878" w:themeColor="background1" w:themeShade="80"/>
      </w:rPr>
      <w:id w:val="-375696744"/>
      <w:docPartObj>
        <w:docPartGallery w:val="Page Numbers (Bottom of Page)"/>
        <w:docPartUnique/>
      </w:docPartObj>
    </w:sdtPr>
    <w:sdtEndPr/>
    <w:sdtContent>
      <w:p w14:paraId="56BE0421" w14:textId="793F1D0E" w:rsidR="007F2E0D" w:rsidRPr="00720D61" w:rsidRDefault="007F2E0D" w:rsidP="00036DD3">
        <w:pPr>
          <w:pStyle w:val="Bunntekst"/>
          <w:ind w:firstLine="357"/>
        </w:pPr>
        <w:r w:rsidRPr="00C426A8">
          <w:t>Rapportnummer</w:t>
        </w:r>
        <w:r>
          <w:t xml:space="preserve"> </w:t>
        </w:r>
        <w:r w:rsidR="009C6D7C">
          <w:rPr>
            <w:rFonts w:cs="Arial"/>
            <w:b/>
            <w:bCs/>
            <w:color w:val="000000"/>
            <w:sz w:val="20"/>
            <w:szCs w:val="20"/>
            <w:shd w:val="clear" w:color="auto" w:fill="FFFFFF"/>
          </w:rPr>
          <w:t>IE-1120</w:t>
        </w:r>
        <w:sdt>
          <w:sdtPr>
            <w:id w:val="1254401847"/>
            <w:docPartObj>
              <w:docPartGallery w:val="Page Numbers (Bottom of Page)"/>
              <w:docPartUnique/>
            </w:docPartObj>
          </w:sdtPr>
          <w:sdtEndPr/>
          <w:sdtContent>
            <w:r>
              <w:tab/>
            </w:r>
            <w:r>
              <w:tab/>
            </w:r>
            <w:r>
              <w:fldChar w:fldCharType="begin"/>
            </w:r>
            <w:r>
              <w:instrText>PAGE   \* MERGEFORMAT</w:instrText>
            </w:r>
            <w:r>
              <w:fldChar w:fldCharType="separate"/>
            </w:r>
            <w:r>
              <w:rPr>
                <w:noProof/>
              </w:rPr>
              <w:t>7</w:t>
            </w:r>
            <w:r>
              <w:fldChar w:fldCharType="end"/>
            </w:r>
          </w:sdtContent>
        </w:sdt>
      </w:p>
    </w:sdtContent>
  </w:sdt>
  <w:p w14:paraId="52B149A4" w14:textId="77777777" w:rsidR="007F2E0D" w:rsidRPr="002F6F79" w:rsidRDefault="007F2E0D" w:rsidP="002F6F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EC1E" w14:textId="33AD4936" w:rsidR="007F2E0D" w:rsidRDefault="00036DD3" w:rsidP="00720D61">
    <w:pPr>
      <w:pStyle w:val="Bunntekst"/>
    </w:pPr>
    <w:r>
      <w:t xml:space="preserve">        </w:t>
    </w:r>
    <w:r w:rsidR="007F2E0D" w:rsidRPr="00C426A8">
      <w:t>Rapportnummer</w:t>
    </w:r>
    <w:r w:rsidR="007F2E0D">
      <w:t xml:space="preserve"> IE-1085</w:t>
    </w:r>
    <w:sdt>
      <w:sdtPr>
        <w:id w:val="-834523402"/>
        <w:docPartObj>
          <w:docPartGallery w:val="Page Numbers (Bottom of Page)"/>
          <w:docPartUnique/>
        </w:docPartObj>
      </w:sdtPr>
      <w:sdtEndPr/>
      <w:sdtContent>
        <w:r w:rsidR="007F2E0D">
          <w:tab/>
        </w:r>
        <w:r w:rsidR="007F2E0D">
          <w:tab/>
        </w:r>
        <w:r w:rsidR="007F2E0D">
          <w:fldChar w:fldCharType="begin"/>
        </w:r>
        <w:r w:rsidR="007F2E0D">
          <w:instrText>PAGE   \* MERGEFORMAT</w:instrText>
        </w:r>
        <w:r w:rsidR="007F2E0D">
          <w:fldChar w:fldCharType="separate"/>
        </w:r>
        <w:r w:rsidR="007F2E0D">
          <w:rPr>
            <w:noProof/>
          </w:rPr>
          <w:t>4</w:t>
        </w:r>
        <w:r w:rsidR="007F2E0D">
          <w:fldChar w:fldCharType="end"/>
        </w:r>
      </w:sdtContent>
    </w:sdt>
  </w:p>
  <w:p w14:paraId="58BFF903" w14:textId="77777777" w:rsidR="007F2E0D" w:rsidRDefault="007F2E0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EC34" w14:textId="77777777" w:rsidR="00024CB2" w:rsidRDefault="00024CB2" w:rsidP="007153CC">
      <w:pPr>
        <w:spacing w:after="0"/>
      </w:pPr>
      <w:r>
        <w:separator/>
      </w:r>
    </w:p>
  </w:footnote>
  <w:footnote w:type="continuationSeparator" w:id="0">
    <w:p w14:paraId="7D4C0C71" w14:textId="77777777" w:rsidR="00024CB2" w:rsidRDefault="00024CB2">
      <w:r>
        <w:continuationSeparator/>
      </w:r>
    </w:p>
  </w:footnote>
  <w:footnote w:type="continuationNotice" w:id="1">
    <w:p w14:paraId="5CE2B250" w14:textId="77777777" w:rsidR="00024CB2" w:rsidRDefault="00024CB2">
      <w:pPr>
        <w:spacing w:after="0" w:line="240" w:lineRule="auto"/>
      </w:pPr>
    </w:p>
  </w:footnote>
  <w:footnote w:id="2">
    <w:p w14:paraId="56CB21C4" w14:textId="0B7DE462" w:rsidR="004459AC" w:rsidRPr="00AE0927" w:rsidRDefault="00717097" w:rsidP="004459AC">
      <w:pPr>
        <w:pStyle w:val="Fotnotetekst"/>
        <w:rPr>
          <w:sz w:val="16"/>
          <w:szCs w:val="16"/>
          <w:lang w:val="en-US"/>
        </w:rPr>
      </w:pPr>
      <w:r>
        <w:fldChar w:fldCharType="begin"/>
      </w:r>
      <w:r w:rsidR="00DC6F8E">
        <w:instrText>HYPERLINK "https://doi.org/10.26099/01DV-H208"</w:instrText>
      </w:r>
      <w:r>
        <w:fldChar w:fldCharType="separate"/>
      </w:r>
      <w:r w:rsidR="004459AC" w:rsidRPr="00AE0927">
        <w:rPr>
          <w:rStyle w:val="Hyperkobling"/>
          <w:rFonts w:asciiTheme="minorHAnsi" w:hAnsiTheme="minorHAnsi" w:cstheme="minorHAnsi"/>
          <w:sz w:val="14"/>
          <w:szCs w:val="14"/>
          <w:vertAlign w:val="superscript"/>
        </w:rPr>
        <w:footnoteRef/>
      </w:r>
      <w:r w:rsidR="004459AC" w:rsidRPr="00AE0927">
        <w:rPr>
          <w:rStyle w:val="Hyperkobling"/>
          <w:rFonts w:asciiTheme="minorHAnsi" w:hAnsiTheme="minorHAnsi" w:cstheme="minorHAnsi"/>
          <w:sz w:val="14"/>
          <w:szCs w:val="14"/>
          <w:lang w:val="en-US"/>
        </w:rPr>
        <w:t xml:space="preserve"> The Commonwealth Fund, august 2021</w:t>
      </w:r>
      <w:r>
        <w:rPr>
          <w:rStyle w:val="Hyperkobling"/>
          <w:rFonts w:asciiTheme="minorHAnsi" w:hAnsiTheme="minorHAnsi" w:cstheme="minorHAnsi"/>
          <w:sz w:val="14"/>
          <w:szCs w:val="14"/>
          <w:lang w:val="en-US"/>
        </w:rPr>
        <w:fldChar w:fldCharType="end"/>
      </w:r>
    </w:p>
  </w:footnote>
  <w:footnote w:id="3">
    <w:p w14:paraId="49DB3A2A" w14:textId="66C58FFC" w:rsidR="004459AC" w:rsidRPr="007A4B6B" w:rsidRDefault="004459AC" w:rsidP="004459AC">
      <w:pPr>
        <w:pStyle w:val="Fotnotetekst"/>
        <w:rPr>
          <w:rFonts w:asciiTheme="minorHAnsi" w:hAnsiTheme="minorHAnsi" w:cstheme="minorHAnsi"/>
          <w:sz w:val="14"/>
          <w:szCs w:val="14"/>
          <w:lang w:val="en-US"/>
        </w:rPr>
      </w:pPr>
      <w:r w:rsidRPr="00D67D40">
        <w:rPr>
          <w:rStyle w:val="Fotnotereferanse"/>
          <w:rFonts w:asciiTheme="minorHAnsi" w:hAnsiTheme="minorHAnsi" w:cstheme="minorHAnsi"/>
          <w:sz w:val="14"/>
          <w:szCs w:val="14"/>
        </w:rPr>
        <w:footnoteRef/>
      </w:r>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Komparativ</w:t>
      </w:r>
      <w:proofErr w:type="spellEnd"/>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analyse</w:t>
      </w:r>
      <w:proofErr w:type="spellEnd"/>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fra</w:t>
      </w:r>
      <w:proofErr w:type="spellEnd"/>
      <w:r w:rsidRPr="00526B1B">
        <w:rPr>
          <w:rFonts w:asciiTheme="minorHAnsi" w:hAnsiTheme="minorHAnsi" w:cstheme="minorHAnsi"/>
          <w:sz w:val="14"/>
          <w:szCs w:val="14"/>
          <w:lang w:val="en-US"/>
        </w:rPr>
        <w:t xml:space="preserve"> 2017: </w:t>
      </w:r>
      <w:hyperlink r:id="rId1" w:history="1">
        <w:r w:rsidRPr="00526B1B">
          <w:rPr>
            <w:rStyle w:val="Hyperkobling"/>
            <w:rFonts w:asciiTheme="minorHAnsi" w:hAnsiTheme="minorHAnsi" w:cstheme="minorHAnsi"/>
            <w:sz w:val="14"/>
            <w:szCs w:val="14"/>
            <w:lang w:val="en-US"/>
          </w:rPr>
          <w:t>https://ehelse.no/publikasjoner/komparativ-analyse-av-de-regionale-helseforetakene-pa-ikt-omradet-tillegg-til-hovedrappo</w:t>
        </w:r>
        <w:r w:rsidRPr="007A4B6B">
          <w:rPr>
            <w:rStyle w:val="Hyperkobling"/>
            <w:rFonts w:asciiTheme="minorHAnsi" w:hAnsiTheme="minorHAnsi" w:cstheme="minorHAnsi"/>
            <w:sz w:val="14"/>
            <w:szCs w:val="14"/>
            <w:lang w:val="en-US"/>
          </w:rPr>
          <w:t>rt</w:t>
        </w:r>
      </w:hyperlink>
      <w:r w:rsidRPr="00526B1B">
        <w:rPr>
          <w:rFonts w:asciiTheme="minorHAnsi" w:hAnsiTheme="minorHAnsi" w:cstheme="minorHAnsi"/>
          <w:sz w:val="14"/>
          <w:szCs w:val="14"/>
          <w:lang w:val="en-US"/>
        </w:rPr>
        <w:t xml:space="preserve"> </w:t>
      </w:r>
    </w:p>
  </w:footnote>
  <w:footnote w:id="4">
    <w:p w14:paraId="7A532E8D" w14:textId="0D320741" w:rsidR="004459AC" w:rsidRPr="007A4B6B" w:rsidRDefault="004459AC" w:rsidP="004459AC">
      <w:pPr>
        <w:pStyle w:val="Fotnotetekst"/>
        <w:rPr>
          <w:lang w:val="en-US"/>
        </w:rPr>
      </w:pPr>
      <w:r>
        <w:rPr>
          <w:rStyle w:val="Fotnotereferanse"/>
        </w:rPr>
        <w:footnoteRef/>
      </w:r>
      <w:r w:rsidRPr="00526B1B">
        <w:rPr>
          <w:lang w:val="en-US"/>
        </w:rPr>
        <w:t xml:space="preserve"> </w:t>
      </w:r>
      <w:hyperlink r:id="rId2" w:history="1">
        <w:r w:rsidRPr="00526B1B">
          <w:rPr>
            <w:rStyle w:val="Hyperkobling"/>
            <w:rFonts w:asciiTheme="minorHAnsi" w:hAnsiTheme="minorHAnsi" w:cstheme="minorHAnsi"/>
            <w:sz w:val="14"/>
            <w:szCs w:val="14"/>
            <w:lang w:val="en-US"/>
          </w:rPr>
          <w:t>https://www.ehelse.no/strategi/nasjonal-e-helsemonitor</w:t>
        </w:r>
      </w:hyperlink>
      <w:r w:rsidRPr="00526B1B">
        <w:rPr>
          <w:lang w:val="en-US"/>
        </w:rPr>
        <w:t xml:space="preserve"> </w:t>
      </w:r>
    </w:p>
  </w:footnote>
  <w:footnote w:id="5">
    <w:p w14:paraId="141AB253" w14:textId="539D1DB2" w:rsidR="00FA732C" w:rsidRPr="00A406A7" w:rsidRDefault="00FA732C">
      <w:pPr>
        <w:pStyle w:val="Fotnotetekst"/>
        <w:rPr>
          <w:lang w:val="en-US"/>
        </w:rPr>
      </w:pPr>
      <w:r>
        <w:rPr>
          <w:rStyle w:val="Fotnotereferanse"/>
        </w:rPr>
        <w:footnoteRef/>
      </w:r>
      <w:r w:rsidRPr="00A406A7">
        <w:rPr>
          <w:lang w:val="en-US"/>
        </w:rPr>
        <w:t xml:space="preserve"> </w:t>
      </w:r>
      <w:r w:rsidR="003C3454" w:rsidRPr="003C3454">
        <w:rPr>
          <w:lang w:val="en-US"/>
        </w:rPr>
        <w:t>https://www.gartner.com/document/code/752520</w:t>
      </w:r>
    </w:p>
  </w:footnote>
  <w:footnote w:id="6">
    <w:p w14:paraId="2A1124F5" w14:textId="79DAEA7B" w:rsidR="00B11279" w:rsidRDefault="00B11279">
      <w:pPr>
        <w:pStyle w:val="Fotnotetekst"/>
      </w:pPr>
      <w:r>
        <w:rPr>
          <w:rStyle w:val="Fotnotereferanse"/>
        </w:rPr>
        <w:footnoteRef/>
      </w:r>
      <w:r>
        <w:t xml:space="preserve"> Helseregionenes finansiering av IKT i denne figuren dekker alle IKT-utgiftene til de regionale helseforetakene med tilhørende IKT-leverandører, helseforetak og private ideelle sykehus og regionenes finansiering av IKT-kostnader til helseforvaltningen (inkludert Pasientreiser og HDO). Pasientreiser er helfinansiert av regionene og er derfor ikke synlig i grafen.</w:t>
      </w:r>
    </w:p>
  </w:footnote>
  <w:footnote w:id="7">
    <w:p w14:paraId="4D6F48D4" w14:textId="202B6FFA" w:rsidR="00FA7458" w:rsidRDefault="00FA7458" w:rsidP="00FA7458">
      <w:pPr>
        <w:pStyle w:val="Fotnotetekst"/>
      </w:pPr>
      <w:r w:rsidRPr="00075613">
        <w:rPr>
          <w:rStyle w:val="Fotnotereferanse"/>
          <w:highlight w:val="yellow"/>
        </w:rPr>
        <w:footnoteRef/>
      </w:r>
      <w:r w:rsidRPr="00075613">
        <w:rPr>
          <w:highlight w:val="yellow"/>
        </w:rPr>
        <w:t xml:space="preserve"> </w:t>
      </w:r>
      <w:r w:rsidR="004A017D" w:rsidRPr="004A017D">
        <w:t>https://www.menon.no/wp-content/uploads/2022-57-Helsenaeringens-verdi-2022.pdf</w:t>
      </w:r>
    </w:p>
  </w:footnote>
  <w:footnote w:id="8">
    <w:p w14:paraId="17641FCB" w14:textId="437DEAE1" w:rsidR="000232E0" w:rsidRDefault="000232E0" w:rsidP="000232E0">
      <w:pPr>
        <w:pStyle w:val="Fotnotetekst"/>
      </w:pPr>
      <w:r>
        <w:rPr>
          <w:rStyle w:val="Fotnotereferanse"/>
        </w:rPr>
        <w:footnoteRef/>
      </w:r>
      <w:r>
        <w:t xml:space="preserve"> Kapittel 2.</w:t>
      </w:r>
      <w:r w:rsidR="003E30AA">
        <w:t>2</w:t>
      </w:r>
    </w:p>
  </w:footnote>
  <w:footnote w:id="9">
    <w:p w14:paraId="7133899B" w14:textId="77777777" w:rsidR="006E5AA5" w:rsidRDefault="006E5AA5" w:rsidP="006E5AA5">
      <w:pPr>
        <w:pStyle w:val="Fotnotetekst"/>
      </w:pPr>
      <w:r>
        <w:rPr>
          <w:rStyle w:val="Fotnotereferanse"/>
        </w:rPr>
        <w:footnoteRef/>
      </w:r>
      <w:r>
        <w:t xml:space="preserve"> </w:t>
      </w:r>
      <w:r w:rsidRPr="00362307">
        <w:t>https://statsregnskapet.dfo.no/inntekter-og-utgifter/kontoplan/6-annen-driftskostnad/67-kjop-av-konsulenttjenester-og-andre-fremmede-tjenester/671-konsulenttjenester-til-utvikling-av-programvare-ikt-losninger-mv</w:t>
      </w:r>
    </w:p>
  </w:footnote>
  <w:footnote w:id="10">
    <w:p w14:paraId="6796B728" w14:textId="6CF3EA6D" w:rsidR="00881F71" w:rsidRDefault="00881F71">
      <w:pPr>
        <w:pStyle w:val="Fotnotetekst"/>
      </w:pPr>
      <w:r>
        <w:rPr>
          <w:rStyle w:val="Fotnotereferanse"/>
        </w:rPr>
        <w:footnoteRef/>
      </w:r>
      <w:r>
        <w:t xml:space="preserve"> </w:t>
      </w:r>
      <w:r w:rsidRPr="00881F71">
        <w:t>https://www.tekna.no/globalassets/filer/rapporter/arbeidsmarked/r1-2021-behov-for-og-tilbud-av-ikt-kompetanse-v3-190121.pdf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53D1" w14:textId="6937855C" w:rsidR="007F2E0D" w:rsidRPr="00A75499" w:rsidRDefault="00036DD3" w:rsidP="00A75499">
    <w:pPr>
      <w:pStyle w:val="Topptekst"/>
    </w:pPr>
    <w:r>
      <w:tab/>
    </w:r>
    <w:r w:rsidR="007F2E0D">
      <w:t>Ressursbruk på IKT i helse- og omsorgstjenesten i 202</w:t>
    </w:r>
    <w:r w:rsidR="00832428">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5E01" w14:textId="4CB51D74" w:rsidR="007F2E0D" w:rsidRDefault="00036DD3">
    <w:pPr>
      <w:pStyle w:val="Topptekst"/>
    </w:pPr>
    <w:r>
      <w:tab/>
    </w:r>
    <w:r w:rsidR="007F2E0D">
      <w:t>Ressursbruk på IKT i helse- og omsorgstjenesten i 20</w:t>
    </w: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0672D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A0241A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295ADD5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DD4AF87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E4298E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B6930A"/>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EEB8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9605D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589E4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A5CC2D0"/>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4880744"/>
    <w:multiLevelType w:val="hybridMultilevel"/>
    <w:tmpl w:val="D706B1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86C38BC"/>
    <w:multiLevelType w:val="multilevel"/>
    <w:tmpl w:val="A418D9F0"/>
    <w:styleLink w:val="1ai"/>
    <w:lvl w:ilvl="0">
      <w:start w:val="1"/>
      <w:numFmt w:val="decimal"/>
      <w:lvlText w:val="%1."/>
      <w:lvlJc w:val="left"/>
      <w:pPr>
        <w:ind w:left="397" w:hanging="397"/>
      </w:pPr>
      <w:rPr>
        <w:rFonts w:hint="default"/>
      </w:rPr>
    </w:lvl>
    <w:lvl w:ilvl="1">
      <w:start w:val="1"/>
      <w:numFmt w:val="decimal"/>
      <w:lvlText w:val="%1.%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974BCD"/>
    <w:multiLevelType w:val="hybridMultilevel"/>
    <w:tmpl w:val="87A688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CE67AAE"/>
    <w:multiLevelType w:val="hybridMultilevel"/>
    <w:tmpl w:val="53DA6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0663947"/>
    <w:multiLevelType w:val="hybridMultilevel"/>
    <w:tmpl w:val="0B9EF8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23E79F5"/>
    <w:multiLevelType w:val="hybridMultilevel"/>
    <w:tmpl w:val="F6E2C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54107EC"/>
    <w:multiLevelType w:val="hybridMultilevel"/>
    <w:tmpl w:val="1632D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90875B1"/>
    <w:multiLevelType w:val="multilevel"/>
    <w:tmpl w:val="AF1C42C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859"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8" w15:restartNumberingAfterBreak="0">
    <w:nsid w:val="1BC518C2"/>
    <w:multiLevelType w:val="hybridMultilevel"/>
    <w:tmpl w:val="EFEA88A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1A0EA9"/>
    <w:multiLevelType w:val="hybridMultilevel"/>
    <w:tmpl w:val="46F82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124180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ED5B04"/>
    <w:multiLevelType w:val="multilevel"/>
    <w:tmpl w:val="866A1BF2"/>
    <w:styleLink w:val="Liste-flerenivehels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134" w:hanging="340"/>
      </w:pPr>
      <w:rPr>
        <w:rFonts w:hint="default"/>
      </w:rPr>
    </w:lvl>
    <w:lvl w:ilvl="3">
      <w:start w:val="1"/>
      <w:numFmt w:val="bullet"/>
      <w:lvlText w:val=""/>
      <w:lvlJc w:val="left"/>
      <w:pPr>
        <w:ind w:left="1474" w:hanging="340"/>
      </w:pPr>
      <w:rPr>
        <w:rFonts w:ascii="Symbol" w:hAnsi="Symbol" w:hint="default"/>
        <w:color w:val="auto"/>
      </w:rPr>
    </w:lvl>
    <w:lvl w:ilvl="4">
      <w:start w:val="1"/>
      <w:numFmt w:val="bullet"/>
      <w:lvlText w:val=""/>
      <w:lvlJc w:val="left"/>
      <w:pPr>
        <w:ind w:left="1758" w:hanging="284"/>
      </w:pPr>
      <w:rPr>
        <w:rFonts w:ascii="Symbol" w:hAnsi="Symbol" w:hint="default"/>
        <w:color w:val="auto"/>
      </w:rPr>
    </w:lvl>
    <w:lvl w:ilvl="5">
      <w:start w:val="1"/>
      <w:numFmt w:val="none"/>
      <w:lvlText w:val=""/>
      <w:lvlJc w:val="left"/>
      <w:pPr>
        <w:ind w:left="2098" w:hanging="298"/>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2F1320C7"/>
    <w:multiLevelType w:val="hybridMultilevel"/>
    <w:tmpl w:val="54C0B9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3365C49"/>
    <w:multiLevelType w:val="hybridMultilevel"/>
    <w:tmpl w:val="568E13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504161A"/>
    <w:multiLevelType w:val="hybridMultilevel"/>
    <w:tmpl w:val="1D523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DE2589C"/>
    <w:multiLevelType w:val="hybridMultilevel"/>
    <w:tmpl w:val="3B3006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A671F8"/>
    <w:multiLevelType w:val="hybridMultilevel"/>
    <w:tmpl w:val="F80C6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4984A9E"/>
    <w:multiLevelType w:val="hybridMultilevel"/>
    <w:tmpl w:val="9754EE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A813C0"/>
    <w:multiLevelType w:val="hybridMultilevel"/>
    <w:tmpl w:val="AAA646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A0568B7"/>
    <w:multiLevelType w:val="hybridMultilevel"/>
    <w:tmpl w:val="FBEE6D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0E764C2"/>
    <w:multiLevelType w:val="hybridMultilevel"/>
    <w:tmpl w:val="7096B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722FD6"/>
    <w:multiLevelType w:val="hybridMultilevel"/>
    <w:tmpl w:val="F7AAC4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2B74AC9"/>
    <w:multiLevelType w:val="hybridMultilevel"/>
    <w:tmpl w:val="B19C4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17651C"/>
    <w:multiLevelType w:val="hybridMultilevel"/>
    <w:tmpl w:val="D5BC0D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F265D04"/>
    <w:multiLevelType w:val="hybridMultilevel"/>
    <w:tmpl w:val="7472D6E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5" w15:restartNumberingAfterBreak="0">
    <w:nsid w:val="6F346D76"/>
    <w:multiLevelType w:val="hybridMultilevel"/>
    <w:tmpl w:val="1EB8C0B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2BD1141"/>
    <w:multiLevelType w:val="hybridMultilevel"/>
    <w:tmpl w:val="221E3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B0A6EAF"/>
    <w:multiLevelType w:val="hybridMultilevel"/>
    <w:tmpl w:val="13029C30"/>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DF45318"/>
    <w:multiLevelType w:val="hybridMultilevel"/>
    <w:tmpl w:val="228C9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FF3562E"/>
    <w:multiLevelType w:val="hybridMultilevel"/>
    <w:tmpl w:val="C8D40444"/>
    <w:lvl w:ilvl="0" w:tplc="10CCAD08">
      <w:start w:val="1"/>
      <w:numFmt w:val="bullet"/>
      <w:lvlText w:val=""/>
      <w:lvlJc w:val="left"/>
      <w:pPr>
        <w:tabs>
          <w:tab w:val="num" w:pos="720"/>
        </w:tabs>
        <w:ind w:left="720" w:hanging="360"/>
      </w:pPr>
      <w:rPr>
        <w:rFonts w:ascii="Wingdings 2" w:hAnsi="Wingdings 2" w:hint="default"/>
      </w:rPr>
    </w:lvl>
    <w:lvl w:ilvl="1" w:tplc="B83456E6" w:tentative="1">
      <w:start w:val="1"/>
      <w:numFmt w:val="bullet"/>
      <w:lvlText w:val=""/>
      <w:lvlJc w:val="left"/>
      <w:pPr>
        <w:tabs>
          <w:tab w:val="num" w:pos="1440"/>
        </w:tabs>
        <w:ind w:left="1440" w:hanging="360"/>
      </w:pPr>
      <w:rPr>
        <w:rFonts w:ascii="Wingdings 2" w:hAnsi="Wingdings 2" w:hint="default"/>
      </w:rPr>
    </w:lvl>
    <w:lvl w:ilvl="2" w:tplc="3586B6CA" w:tentative="1">
      <w:start w:val="1"/>
      <w:numFmt w:val="bullet"/>
      <w:lvlText w:val=""/>
      <w:lvlJc w:val="left"/>
      <w:pPr>
        <w:tabs>
          <w:tab w:val="num" w:pos="2160"/>
        </w:tabs>
        <w:ind w:left="2160" w:hanging="360"/>
      </w:pPr>
      <w:rPr>
        <w:rFonts w:ascii="Wingdings 2" w:hAnsi="Wingdings 2" w:hint="default"/>
      </w:rPr>
    </w:lvl>
    <w:lvl w:ilvl="3" w:tplc="D1D6940A" w:tentative="1">
      <w:start w:val="1"/>
      <w:numFmt w:val="bullet"/>
      <w:lvlText w:val=""/>
      <w:lvlJc w:val="left"/>
      <w:pPr>
        <w:tabs>
          <w:tab w:val="num" w:pos="2880"/>
        </w:tabs>
        <w:ind w:left="2880" w:hanging="360"/>
      </w:pPr>
      <w:rPr>
        <w:rFonts w:ascii="Wingdings 2" w:hAnsi="Wingdings 2" w:hint="default"/>
      </w:rPr>
    </w:lvl>
    <w:lvl w:ilvl="4" w:tplc="C5D86A70" w:tentative="1">
      <w:start w:val="1"/>
      <w:numFmt w:val="bullet"/>
      <w:lvlText w:val=""/>
      <w:lvlJc w:val="left"/>
      <w:pPr>
        <w:tabs>
          <w:tab w:val="num" w:pos="3600"/>
        </w:tabs>
        <w:ind w:left="3600" w:hanging="360"/>
      </w:pPr>
      <w:rPr>
        <w:rFonts w:ascii="Wingdings 2" w:hAnsi="Wingdings 2" w:hint="default"/>
      </w:rPr>
    </w:lvl>
    <w:lvl w:ilvl="5" w:tplc="E3EA4326" w:tentative="1">
      <w:start w:val="1"/>
      <w:numFmt w:val="bullet"/>
      <w:lvlText w:val=""/>
      <w:lvlJc w:val="left"/>
      <w:pPr>
        <w:tabs>
          <w:tab w:val="num" w:pos="4320"/>
        </w:tabs>
        <w:ind w:left="4320" w:hanging="360"/>
      </w:pPr>
      <w:rPr>
        <w:rFonts w:ascii="Wingdings 2" w:hAnsi="Wingdings 2" w:hint="default"/>
      </w:rPr>
    </w:lvl>
    <w:lvl w:ilvl="6" w:tplc="7D8A9868" w:tentative="1">
      <w:start w:val="1"/>
      <w:numFmt w:val="bullet"/>
      <w:lvlText w:val=""/>
      <w:lvlJc w:val="left"/>
      <w:pPr>
        <w:tabs>
          <w:tab w:val="num" w:pos="5040"/>
        </w:tabs>
        <w:ind w:left="5040" w:hanging="360"/>
      </w:pPr>
      <w:rPr>
        <w:rFonts w:ascii="Wingdings 2" w:hAnsi="Wingdings 2" w:hint="default"/>
      </w:rPr>
    </w:lvl>
    <w:lvl w:ilvl="7" w:tplc="466CF6EE" w:tentative="1">
      <w:start w:val="1"/>
      <w:numFmt w:val="bullet"/>
      <w:lvlText w:val=""/>
      <w:lvlJc w:val="left"/>
      <w:pPr>
        <w:tabs>
          <w:tab w:val="num" w:pos="5760"/>
        </w:tabs>
        <w:ind w:left="5760" w:hanging="360"/>
      </w:pPr>
      <w:rPr>
        <w:rFonts w:ascii="Wingdings 2" w:hAnsi="Wingdings 2" w:hint="default"/>
      </w:rPr>
    </w:lvl>
    <w:lvl w:ilvl="8" w:tplc="B26675AA" w:tentative="1">
      <w:start w:val="1"/>
      <w:numFmt w:val="bullet"/>
      <w:lvlText w:val=""/>
      <w:lvlJc w:val="left"/>
      <w:pPr>
        <w:tabs>
          <w:tab w:val="num" w:pos="6480"/>
        </w:tabs>
        <w:ind w:left="6480" w:hanging="360"/>
      </w:pPr>
      <w:rPr>
        <w:rFonts w:ascii="Wingdings 2" w:hAnsi="Wingdings 2" w:hint="default"/>
      </w:rPr>
    </w:lvl>
  </w:abstractNum>
  <w:num w:numId="1" w16cid:durableId="1694573222">
    <w:abstractNumId w:val="11"/>
  </w:num>
  <w:num w:numId="2" w16cid:durableId="1097403538">
    <w:abstractNumId w:val="8"/>
  </w:num>
  <w:num w:numId="3" w16cid:durableId="100228852">
    <w:abstractNumId w:val="3"/>
  </w:num>
  <w:num w:numId="4" w16cid:durableId="797530551">
    <w:abstractNumId w:val="2"/>
  </w:num>
  <w:num w:numId="5" w16cid:durableId="486168552">
    <w:abstractNumId w:val="1"/>
  </w:num>
  <w:num w:numId="6" w16cid:durableId="328945927">
    <w:abstractNumId w:val="0"/>
  </w:num>
  <w:num w:numId="7" w16cid:durableId="51198620">
    <w:abstractNumId w:val="9"/>
  </w:num>
  <w:num w:numId="8" w16cid:durableId="2113086784">
    <w:abstractNumId w:val="7"/>
  </w:num>
  <w:num w:numId="9" w16cid:durableId="1973557112">
    <w:abstractNumId w:val="6"/>
  </w:num>
  <w:num w:numId="10" w16cid:durableId="1269580064">
    <w:abstractNumId w:val="5"/>
  </w:num>
  <w:num w:numId="11" w16cid:durableId="1350598030">
    <w:abstractNumId w:val="4"/>
  </w:num>
  <w:num w:numId="12" w16cid:durableId="1956981364">
    <w:abstractNumId w:val="20"/>
  </w:num>
  <w:num w:numId="13" w16cid:durableId="463741801">
    <w:abstractNumId w:val="17"/>
  </w:num>
  <w:num w:numId="14" w16cid:durableId="639388441">
    <w:abstractNumId w:val="21"/>
  </w:num>
  <w:num w:numId="15" w16cid:durableId="464544752">
    <w:abstractNumId w:val="10"/>
  </w:num>
  <w:num w:numId="16" w16cid:durableId="485167336">
    <w:abstractNumId w:val="33"/>
  </w:num>
  <w:num w:numId="17" w16cid:durableId="1884251679">
    <w:abstractNumId w:val="12"/>
  </w:num>
  <w:num w:numId="18" w16cid:durableId="585653279">
    <w:abstractNumId w:val="34"/>
  </w:num>
  <w:num w:numId="19" w16cid:durableId="217398250">
    <w:abstractNumId w:val="26"/>
  </w:num>
  <w:num w:numId="20" w16cid:durableId="1558544195">
    <w:abstractNumId w:val="35"/>
  </w:num>
  <w:num w:numId="21" w16cid:durableId="146365375">
    <w:abstractNumId w:val="37"/>
  </w:num>
  <w:num w:numId="22" w16cid:durableId="98333953">
    <w:abstractNumId w:val="18"/>
  </w:num>
  <w:num w:numId="23" w16cid:durableId="1305043748">
    <w:abstractNumId w:val="30"/>
  </w:num>
  <w:num w:numId="24" w16cid:durableId="1304576215">
    <w:abstractNumId w:val="23"/>
  </w:num>
  <w:num w:numId="25" w16cid:durableId="621884334">
    <w:abstractNumId w:val="25"/>
  </w:num>
  <w:num w:numId="26" w16cid:durableId="6250154">
    <w:abstractNumId w:val="31"/>
  </w:num>
  <w:num w:numId="27" w16cid:durableId="921837751">
    <w:abstractNumId w:val="16"/>
  </w:num>
  <w:num w:numId="28" w16cid:durableId="1086416298">
    <w:abstractNumId w:val="38"/>
  </w:num>
  <w:num w:numId="29" w16cid:durableId="27068900">
    <w:abstractNumId w:val="14"/>
  </w:num>
  <w:num w:numId="30" w16cid:durableId="603193590">
    <w:abstractNumId w:val="29"/>
  </w:num>
  <w:num w:numId="31" w16cid:durableId="1094471440">
    <w:abstractNumId w:val="24"/>
  </w:num>
  <w:num w:numId="32" w16cid:durableId="921597062">
    <w:abstractNumId w:val="32"/>
  </w:num>
  <w:num w:numId="33" w16cid:durableId="1825975332">
    <w:abstractNumId w:val="28"/>
  </w:num>
  <w:num w:numId="34" w16cid:durableId="523249256">
    <w:abstractNumId w:val="22"/>
  </w:num>
  <w:num w:numId="35" w16cid:durableId="1923025341">
    <w:abstractNumId w:val="13"/>
  </w:num>
  <w:num w:numId="36" w16cid:durableId="595679123">
    <w:abstractNumId w:val="15"/>
  </w:num>
  <w:num w:numId="37" w16cid:durableId="2084715360">
    <w:abstractNumId w:val="36"/>
  </w:num>
  <w:num w:numId="38" w16cid:durableId="803275593">
    <w:abstractNumId w:val="39"/>
  </w:num>
  <w:num w:numId="39" w16cid:durableId="1152481092">
    <w:abstractNumId w:val="27"/>
  </w:num>
  <w:num w:numId="40" w16cid:durableId="1363095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48704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322465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c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A1"/>
    <w:rsid w:val="000003FA"/>
    <w:rsid w:val="00001059"/>
    <w:rsid w:val="000010B4"/>
    <w:rsid w:val="00001197"/>
    <w:rsid w:val="00001468"/>
    <w:rsid w:val="000015F9"/>
    <w:rsid w:val="00001793"/>
    <w:rsid w:val="00001AE5"/>
    <w:rsid w:val="00001C33"/>
    <w:rsid w:val="00001D6F"/>
    <w:rsid w:val="00001FDE"/>
    <w:rsid w:val="0000208A"/>
    <w:rsid w:val="00002112"/>
    <w:rsid w:val="00002137"/>
    <w:rsid w:val="00002149"/>
    <w:rsid w:val="000024B9"/>
    <w:rsid w:val="0000263D"/>
    <w:rsid w:val="000027BB"/>
    <w:rsid w:val="00002B12"/>
    <w:rsid w:val="00002EE2"/>
    <w:rsid w:val="00002FF3"/>
    <w:rsid w:val="00003108"/>
    <w:rsid w:val="000035E3"/>
    <w:rsid w:val="0000378B"/>
    <w:rsid w:val="0000394D"/>
    <w:rsid w:val="00003A08"/>
    <w:rsid w:val="000041AC"/>
    <w:rsid w:val="0000471A"/>
    <w:rsid w:val="000048AE"/>
    <w:rsid w:val="00004D33"/>
    <w:rsid w:val="000050EC"/>
    <w:rsid w:val="0000567E"/>
    <w:rsid w:val="0000587C"/>
    <w:rsid w:val="000058BE"/>
    <w:rsid w:val="00005906"/>
    <w:rsid w:val="0000593F"/>
    <w:rsid w:val="000060DC"/>
    <w:rsid w:val="00006A3E"/>
    <w:rsid w:val="00006B99"/>
    <w:rsid w:val="00006BAE"/>
    <w:rsid w:val="00006E7F"/>
    <w:rsid w:val="00007601"/>
    <w:rsid w:val="00007697"/>
    <w:rsid w:val="00007811"/>
    <w:rsid w:val="00007C63"/>
    <w:rsid w:val="00007D32"/>
    <w:rsid w:val="00007EF6"/>
    <w:rsid w:val="000100DE"/>
    <w:rsid w:val="0001021F"/>
    <w:rsid w:val="0001031D"/>
    <w:rsid w:val="00010634"/>
    <w:rsid w:val="000106DE"/>
    <w:rsid w:val="00010B0A"/>
    <w:rsid w:val="00010F5D"/>
    <w:rsid w:val="00011147"/>
    <w:rsid w:val="00011230"/>
    <w:rsid w:val="00011375"/>
    <w:rsid w:val="0001144F"/>
    <w:rsid w:val="00011C82"/>
    <w:rsid w:val="00011FAD"/>
    <w:rsid w:val="000122B7"/>
    <w:rsid w:val="000127B5"/>
    <w:rsid w:val="0001280B"/>
    <w:rsid w:val="00012AA5"/>
    <w:rsid w:val="00013051"/>
    <w:rsid w:val="000131BB"/>
    <w:rsid w:val="00013264"/>
    <w:rsid w:val="0001374B"/>
    <w:rsid w:val="000138FD"/>
    <w:rsid w:val="00013AFB"/>
    <w:rsid w:val="00013CEA"/>
    <w:rsid w:val="00013D93"/>
    <w:rsid w:val="000140D4"/>
    <w:rsid w:val="0001429F"/>
    <w:rsid w:val="00014469"/>
    <w:rsid w:val="000146F5"/>
    <w:rsid w:val="0001473B"/>
    <w:rsid w:val="00014B0C"/>
    <w:rsid w:val="00014C44"/>
    <w:rsid w:val="00015567"/>
    <w:rsid w:val="000157F2"/>
    <w:rsid w:val="00015ABB"/>
    <w:rsid w:val="00015D2F"/>
    <w:rsid w:val="00015D60"/>
    <w:rsid w:val="00015DE5"/>
    <w:rsid w:val="0001616D"/>
    <w:rsid w:val="000162FE"/>
    <w:rsid w:val="00016401"/>
    <w:rsid w:val="00016722"/>
    <w:rsid w:val="00017019"/>
    <w:rsid w:val="000174BC"/>
    <w:rsid w:val="000178D9"/>
    <w:rsid w:val="00017943"/>
    <w:rsid w:val="00017E88"/>
    <w:rsid w:val="000206B3"/>
    <w:rsid w:val="00020DCF"/>
    <w:rsid w:val="000212BD"/>
    <w:rsid w:val="0002142E"/>
    <w:rsid w:val="00021478"/>
    <w:rsid w:val="0002165D"/>
    <w:rsid w:val="00021AC4"/>
    <w:rsid w:val="00021B54"/>
    <w:rsid w:val="00021C20"/>
    <w:rsid w:val="00022332"/>
    <w:rsid w:val="00022EDA"/>
    <w:rsid w:val="0002305F"/>
    <w:rsid w:val="000230D7"/>
    <w:rsid w:val="0002326F"/>
    <w:rsid w:val="000232E0"/>
    <w:rsid w:val="00023AF7"/>
    <w:rsid w:val="000240E0"/>
    <w:rsid w:val="000243E4"/>
    <w:rsid w:val="0002450E"/>
    <w:rsid w:val="0002463C"/>
    <w:rsid w:val="000246AE"/>
    <w:rsid w:val="0002489E"/>
    <w:rsid w:val="00024CB2"/>
    <w:rsid w:val="00024CD2"/>
    <w:rsid w:val="00024D9A"/>
    <w:rsid w:val="000250CC"/>
    <w:rsid w:val="0002546E"/>
    <w:rsid w:val="00025622"/>
    <w:rsid w:val="00025B76"/>
    <w:rsid w:val="00025DA4"/>
    <w:rsid w:val="00025FB2"/>
    <w:rsid w:val="000269C7"/>
    <w:rsid w:val="00026CA3"/>
    <w:rsid w:val="00026EDA"/>
    <w:rsid w:val="00026EE3"/>
    <w:rsid w:val="00027580"/>
    <w:rsid w:val="00027949"/>
    <w:rsid w:val="00027C48"/>
    <w:rsid w:val="00030207"/>
    <w:rsid w:val="0003078D"/>
    <w:rsid w:val="00030857"/>
    <w:rsid w:val="00030E68"/>
    <w:rsid w:val="000313EF"/>
    <w:rsid w:val="000315B7"/>
    <w:rsid w:val="000317B2"/>
    <w:rsid w:val="000318CE"/>
    <w:rsid w:val="00031958"/>
    <w:rsid w:val="000319DE"/>
    <w:rsid w:val="00031C8E"/>
    <w:rsid w:val="00032336"/>
    <w:rsid w:val="00032498"/>
    <w:rsid w:val="000327C1"/>
    <w:rsid w:val="00032E95"/>
    <w:rsid w:val="000335A2"/>
    <w:rsid w:val="000336FA"/>
    <w:rsid w:val="00033784"/>
    <w:rsid w:val="0003388B"/>
    <w:rsid w:val="000338A6"/>
    <w:rsid w:val="00033A18"/>
    <w:rsid w:val="00033B4D"/>
    <w:rsid w:val="00033DAD"/>
    <w:rsid w:val="00033E76"/>
    <w:rsid w:val="00034047"/>
    <w:rsid w:val="000343B4"/>
    <w:rsid w:val="0003448D"/>
    <w:rsid w:val="00034819"/>
    <w:rsid w:val="00034C36"/>
    <w:rsid w:val="00034F54"/>
    <w:rsid w:val="00035321"/>
    <w:rsid w:val="0003557B"/>
    <w:rsid w:val="000357C1"/>
    <w:rsid w:val="000357D8"/>
    <w:rsid w:val="000357E2"/>
    <w:rsid w:val="00035B42"/>
    <w:rsid w:val="00035B99"/>
    <w:rsid w:val="000368B0"/>
    <w:rsid w:val="00036C15"/>
    <w:rsid w:val="00036DD3"/>
    <w:rsid w:val="000370C0"/>
    <w:rsid w:val="0003740B"/>
    <w:rsid w:val="00037678"/>
    <w:rsid w:val="00037E02"/>
    <w:rsid w:val="00040004"/>
    <w:rsid w:val="00040107"/>
    <w:rsid w:val="00040CB8"/>
    <w:rsid w:val="00040DD4"/>
    <w:rsid w:val="000411B5"/>
    <w:rsid w:val="000414C8"/>
    <w:rsid w:val="000415A1"/>
    <w:rsid w:val="0004172E"/>
    <w:rsid w:val="000419BF"/>
    <w:rsid w:val="00041AC5"/>
    <w:rsid w:val="00041DF8"/>
    <w:rsid w:val="00042119"/>
    <w:rsid w:val="000424B8"/>
    <w:rsid w:val="00042892"/>
    <w:rsid w:val="00042964"/>
    <w:rsid w:val="00042BBF"/>
    <w:rsid w:val="00042BF9"/>
    <w:rsid w:val="00042F5A"/>
    <w:rsid w:val="00042FAE"/>
    <w:rsid w:val="000433B7"/>
    <w:rsid w:val="000434D7"/>
    <w:rsid w:val="00043BD8"/>
    <w:rsid w:val="00043BFB"/>
    <w:rsid w:val="00044413"/>
    <w:rsid w:val="0004441C"/>
    <w:rsid w:val="00044720"/>
    <w:rsid w:val="00044749"/>
    <w:rsid w:val="000448F1"/>
    <w:rsid w:val="0004596E"/>
    <w:rsid w:val="000459AC"/>
    <w:rsid w:val="00045D59"/>
    <w:rsid w:val="00045F95"/>
    <w:rsid w:val="0004601D"/>
    <w:rsid w:val="00046A27"/>
    <w:rsid w:val="00046D64"/>
    <w:rsid w:val="00046DD1"/>
    <w:rsid w:val="00047AF8"/>
    <w:rsid w:val="00047D7F"/>
    <w:rsid w:val="00050618"/>
    <w:rsid w:val="00050B36"/>
    <w:rsid w:val="00050C4E"/>
    <w:rsid w:val="0005197B"/>
    <w:rsid w:val="00051AB8"/>
    <w:rsid w:val="00051BA5"/>
    <w:rsid w:val="00051D43"/>
    <w:rsid w:val="00052438"/>
    <w:rsid w:val="00052A4E"/>
    <w:rsid w:val="00052E2E"/>
    <w:rsid w:val="00052E7E"/>
    <w:rsid w:val="00053258"/>
    <w:rsid w:val="00053939"/>
    <w:rsid w:val="00053963"/>
    <w:rsid w:val="0005399D"/>
    <w:rsid w:val="00053BBF"/>
    <w:rsid w:val="00053E22"/>
    <w:rsid w:val="00053E7C"/>
    <w:rsid w:val="0005435D"/>
    <w:rsid w:val="00054736"/>
    <w:rsid w:val="00054CD7"/>
    <w:rsid w:val="00055282"/>
    <w:rsid w:val="000554CE"/>
    <w:rsid w:val="00055693"/>
    <w:rsid w:val="00055C06"/>
    <w:rsid w:val="000563AC"/>
    <w:rsid w:val="00056664"/>
    <w:rsid w:val="0005677F"/>
    <w:rsid w:val="00056981"/>
    <w:rsid w:val="00056A89"/>
    <w:rsid w:val="00056ABD"/>
    <w:rsid w:val="00056AF6"/>
    <w:rsid w:val="0005769D"/>
    <w:rsid w:val="0005AA82"/>
    <w:rsid w:val="000601EB"/>
    <w:rsid w:val="00060440"/>
    <w:rsid w:val="000605FF"/>
    <w:rsid w:val="00060821"/>
    <w:rsid w:val="00060AE6"/>
    <w:rsid w:val="00060D7C"/>
    <w:rsid w:val="00061B1B"/>
    <w:rsid w:val="00062797"/>
    <w:rsid w:val="0006294B"/>
    <w:rsid w:val="00062EB7"/>
    <w:rsid w:val="000630F4"/>
    <w:rsid w:val="000634C2"/>
    <w:rsid w:val="000636BE"/>
    <w:rsid w:val="0006378E"/>
    <w:rsid w:val="00063BE2"/>
    <w:rsid w:val="000641E1"/>
    <w:rsid w:val="0006586D"/>
    <w:rsid w:val="00065F05"/>
    <w:rsid w:val="00066010"/>
    <w:rsid w:val="000660D2"/>
    <w:rsid w:val="000663CF"/>
    <w:rsid w:val="000665D2"/>
    <w:rsid w:val="00066903"/>
    <w:rsid w:val="0006691D"/>
    <w:rsid w:val="00066E3C"/>
    <w:rsid w:val="00066EEF"/>
    <w:rsid w:val="00067701"/>
    <w:rsid w:val="00067C17"/>
    <w:rsid w:val="0007064B"/>
    <w:rsid w:val="000707B5"/>
    <w:rsid w:val="00070816"/>
    <w:rsid w:val="0007085F"/>
    <w:rsid w:val="000708A9"/>
    <w:rsid w:val="00070AFB"/>
    <w:rsid w:val="00070B8F"/>
    <w:rsid w:val="00070D8E"/>
    <w:rsid w:val="00070DC1"/>
    <w:rsid w:val="000711D9"/>
    <w:rsid w:val="00071256"/>
    <w:rsid w:val="000713BA"/>
    <w:rsid w:val="00071A47"/>
    <w:rsid w:val="00071B65"/>
    <w:rsid w:val="00071E46"/>
    <w:rsid w:val="00071F5E"/>
    <w:rsid w:val="00072356"/>
    <w:rsid w:val="00072643"/>
    <w:rsid w:val="000728DE"/>
    <w:rsid w:val="00072972"/>
    <w:rsid w:val="00072A4B"/>
    <w:rsid w:val="00072AA6"/>
    <w:rsid w:val="00072C9B"/>
    <w:rsid w:val="00073013"/>
    <w:rsid w:val="0007314A"/>
    <w:rsid w:val="00073641"/>
    <w:rsid w:val="000739F9"/>
    <w:rsid w:val="00073BD3"/>
    <w:rsid w:val="0007468B"/>
    <w:rsid w:val="00074ACC"/>
    <w:rsid w:val="00074AE2"/>
    <w:rsid w:val="00075239"/>
    <w:rsid w:val="000753C1"/>
    <w:rsid w:val="00075724"/>
    <w:rsid w:val="00075956"/>
    <w:rsid w:val="00075E05"/>
    <w:rsid w:val="00075E1C"/>
    <w:rsid w:val="00075E53"/>
    <w:rsid w:val="000764DD"/>
    <w:rsid w:val="000769B6"/>
    <w:rsid w:val="00076E9A"/>
    <w:rsid w:val="000772C6"/>
    <w:rsid w:val="00077411"/>
    <w:rsid w:val="00077866"/>
    <w:rsid w:val="00077871"/>
    <w:rsid w:val="000778DB"/>
    <w:rsid w:val="000779DF"/>
    <w:rsid w:val="00077F9E"/>
    <w:rsid w:val="00080084"/>
    <w:rsid w:val="00080126"/>
    <w:rsid w:val="00080286"/>
    <w:rsid w:val="000804BC"/>
    <w:rsid w:val="0008154D"/>
    <w:rsid w:val="00081898"/>
    <w:rsid w:val="0008189D"/>
    <w:rsid w:val="00081904"/>
    <w:rsid w:val="000820C1"/>
    <w:rsid w:val="00082173"/>
    <w:rsid w:val="00082176"/>
    <w:rsid w:val="0008218B"/>
    <w:rsid w:val="000822BF"/>
    <w:rsid w:val="00082A31"/>
    <w:rsid w:val="00082B8E"/>
    <w:rsid w:val="00082E4E"/>
    <w:rsid w:val="00082F72"/>
    <w:rsid w:val="000830BE"/>
    <w:rsid w:val="000837BE"/>
    <w:rsid w:val="0008395B"/>
    <w:rsid w:val="00083BD1"/>
    <w:rsid w:val="000842A1"/>
    <w:rsid w:val="00084585"/>
    <w:rsid w:val="00084745"/>
    <w:rsid w:val="000849BB"/>
    <w:rsid w:val="00084B02"/>
    <w:rsid w:val="000852D0"/>
    <w:rsid w:val="00085325"/>
    <w:rsid w:val="000853A1"/>
    <w:rsid w:val="0008540C"/>
    <w:rsid w:val="00085C9D"/>
    <w:rsid w:val="00085F1A"/>
    <w:rsid w:val="00085F4A"/>
    <w:rsid w:val="00085FEE"/>
    <w:rsid w:val="0008604F"/>
    <w:rsid w:val="000867CF"/>
    <w:rsid w:val="00086B83"/>
    <w:rsid w:val="00086CA0"/>
    <w:rsid w:val="00086CED"/>
    <w:rsid w:val="000870BC"/>
    <w:rsid w:val="000870C4"/>
    <w:rsid w:val="000874B7"/>
    <w:rsid w:val="00090020"/>
    <w:rsid w:val="000903FF"/>
    <w:rsid w:val="000905AE"/>
    <w:rsid w:val="000906EB"/>
    <w:rsid w:val="000908A2"/>
    <w:rsid w:val="00090E44"/>
    <w:rsid w:val="00090EE8"/>
    <w:rsid w:val="000912D9"/>
    <w:rsid w:val="000913C2"/>
    <w:rsid w:val="00091806"/>
    <w:rsid w:val="00091894"/>
    <w:rsid w:val="00091A16"/>
    <w:rsid w:val="00091B71"/>
    <w:rsid w:val="00091E32"/>
    <w:rsid w:val="00091FA1"/>
    <w:rsid w:val="0009243B"/>
    <w:rsid w:val="000929B2"/>
    <w:rsid w:val="00092A88"/>
    <w:rsid w:val="000931F9"/>
    <w:rsid w:val="0009336F"/>
    <w:rsid w:val="000934EB"/>
    <w:rsid w:val="00093DEB"/>
    <w:rsid w:val="00094250"/>
    <w:rsid w:val="00094858"/>
    <w:rsid w:val="00094FA7"/>
    <w:rsid w:val="000955EF"/>
    <w:rsid w:val="00095755"/>
    <w:rsid w:val="00095A6B"/>
    <w:rsid w:val="00095B03"/>
    <w:rsid w:val="00095DFD"/>
    <w:rsid w:val="000967B2"/>
    <w:rsid w:val="00096C5F"/>
    <w:rsid w:val="00097070"/>
    <w:rsid w:val="000971D6"/>
    <w:rsid w:val="0009732F"/>
    <w:rsid w:val="0009745E"/>
    <w:rsid w:val="000976AC"/>
    <w:rsid w:val="00097792"/>
    <w:rsid w:val="00097871"/>
    <w:rsid w:val="00097949"/>
    <w:rsid w:val="000A0659"/>
    <w:rsid w:val="000A070C"/>
    <w:rsid w:val="000A0721"/>
    <w:rsid w:val="000A09A5"/>
    <w:rsid w:val="000A0A8A"/>
    <w:rsid w:val="000A15D2"/>
    <w:rsid w:val="000A1A46"/>
    <w:rsid w:val="000A1C49"/>
    <w:rsid w:val="000A2264"/>
    <w:rsid w:val="000A2422"/>
    <w:rsid w:val="000A29BD"/>
    <w:rsid w:val="000A2B06"/>
    <w:rsid w:val="000A2E05"/>
    <w:rsid w:val="000A31F5"/>
    <w:rsid w:val="000A3279"/>
    <w:rsid w:val="000A3390"/>
    <w:rsid w:val="000A3534"/>
    <w:rsid w:val="000A359D"/>
    <w:rsid w:val="000A3A42"/>
    <w:rsid w:val="000A3D42"/>
    <w:rsid w:val="000A473C"/>
    <w:rsid w:val="000A4F0D"/>
    <w:rsid w:val="000A566D"/>
    <w:rsid w:val="000A5870"/>
    <w:rsid w:val="000A592E"/>
    <w:rsid w:val="000A5D30"/>
    <w:rsid w:val="000A5D89"/>
    <w:rsid w:val="000A6D19"/>
    <w:rsid w:val="000A70A6"/>
    <w:rsid w:val="000A775D"/>
    <w:rsid w:val="000A7BEF"/>
    <w:rsid w:val="000A7C1A"/>
    <w:rsid w:val="000B027C"/>
    <w:rsid w:val="000B09C0"/>
    <w:rsid w:val="000B0AC9"/>
    <w:rsid w:val="000B0ACA"/>
    <w:rsid w:val="000B0CC1"/>
    <w:rsid w:val="000B0CE9"/>
    <w:rsid w:val="000B102D"/>
    <w:rsid w:val="000B1CFB"/>
    <w:rsid w:val="000B21B4"/>
    <w:rsid w:val="000B239E"/>
    <w:rsid w:val="000B259D"/>
    <w:rsid w:val="000B2CEB"/>
    <w:rsid w:val="000B31AE"/>
    <w:rsid w:val="000B3C3B"/>
    <w:rsid w:val="000B431A"/>
    <w:rsid w:val="000B43DA"/>
    <w:rsid w:val="000B442F"/>
    <w:rsid w:val="000B4BBB"/>
    <w:rsid w:val="000B4CAE"/>
    <w:rsid w:val="000B4CF2"/>
    <w:rsid w:val="000B50D2"/>
    <w:rsid w:val="000B6BA0"/>
    <w:rsid w:val="000B6C03"/>
    <w:rsid w:val="000B6DE9"/>
    <w:rsid w:val="000B70A8"/>
    <w:rsid w:val="000B7151"/>
    <w:rsid w:val="000B74A9"/>
    <w:rsid w:val="000B7C57"/>
    <w:rsid w:val="000B7D71"/>
    <w:rsid w:val="000C0072"/>
    <w:rsid w:val="000C0274"/>
    <w:rsid w:val="000C0803"/>
    <w:rsid w:val="000C0919"/>
    <w:rsid w:val="000C0B54"/>
    <w:rsid w:val="000C0C05"/>
    <w:rsid w:val="000C0DB7"/>
    <w:rsid w:val="000C14B9"/>
    <w:rsid w:val="000C172C"/>
    <w:rsid w:val="000C19FD"/>
    <w:rsid w:val="000C1A39"/>
    <w:rsid w:val="000C1B8A"/>
    <w:rsid w:val="000C1BAF"/>
    <w:rsid w:val="000C20E9"/>
    <w:rsid w:val="000C2245"/>
    <w:rsid w:val="000C267A"/>
    <w:rsid w:val="000C292E"/>
    <w:rsid w:val="000C2A4E"/>
    <w:rsid w:val="000C2D72"/>
    <w:rsid w:val="000C2F98"/>
    <w:rsid w:val="000C3245"/>
    <w:rsid w:val="000C35FB"/>
    <w:rsid w:val="000C3BA8"/>
    <w:rsid w:val="000C3C2C"/>
    <w:rsid w:val="000C412F"/>
    <w:rsid w:val="000C45B6"/>
    <w:rsid w:val="000C4960"/>
    <w:rsid w:val="000C4B17"/>
    <w:rsid w:val="000C4CAE"/>
    <w:rsid w:val="000C4CDD"/>
    <w:rsid w:val="000C5385"/>
    <w:rsid w:val="000C54AD"/>
    <w:rsid w:val="000C6A6F"/>
    <w:rsid w:val="000C6B9C"/>
    <w:rsid w:val="000C7664"/>
    <w:rsid w:val="000C7B45"/>
    <w:rsid w:val="000C7E99"/>
    <w:rsid w:val="000C7F11"/>
    <w:rsid w:val="000D00D2"/>
    <w:rsid w:val="000D0298"/>
    <w:rsid w:val="000D11D9"/>
    <w:rsid w:val="000D1224"/>
    <w:rsid w:val="000D14E1"/>
    <w:rsid w:val="000D14F5"/>
    <w:rsid w:val="000D15EC"/>
    <w:rsid w:val="000D1ADD"/>
    <w:rsid w:val="000D1B10"/>
    <w:rsid w:val="000D1B8D"/>
    <w:rsid w:val="000D1E9E"/>
    <w:rsid w:val="000D247D"/>
    <w:rsid w:val="000D2AAF"/>
    <w:rsid w:val="000D2AB3"/>
    <w:rsid w:val="000D3082"/>
    <w:rsid w:val="000D326E"/>
    <w:rsid w:val="000D32D3"/>
    <w:rsid w:val="000D3CBE"/>
    <w:rsid w:val="000D3FD6"/>
    <w:rsid w:val="000D43C5"/>
    <w:rsid w:val="000D496B"/>
    <w:rsid w:val="000D4992"/>
    <w:rsid w:val="000D4CB0"/>
    <w:rsid w:val="000D52B9"/>
    <w:rsid w:val="000D5770"/>
    <w:rsid w:val="000D58BD"/>
    <w:rsid w:val="000D5BDA"/>
    <w:rsid w:val="000D5EE3"/>
    <w:rsid w:val="000D63B6"/>
    <w:rsid w:val="000D6503"/>
    <w:rsid w:val="000D661D"/>
    <w:rsid w:val="000D6951"/>
    <w:rsid w:val="000D6A5D"/>
    <w:rsid w:val="000D6A92"/>
    <w:rsid w:val="000D6C1D"/>
    <w:rsid w:val="000D6E47"/>
    <w:rsid w:val="000D7098"/>
    <w:rsid w:val="000D73C4"/>
    <w:rsid w:val="000D7B43"/>
    <w:rsid w:val="000E00C0"/>
    <w:rsid w:val="000E07DE"/>
    <w:rsid w:val="000E0889"/>
    <w:rsid w:val="000E0921"/>
    <w:rsid w:val="000E09F3"/>
    <w:rsid w:val="000E0F58"/>
    <w:rsid w:val="000E129A"/>
    <w:rsid w:val="000E12E0"/>
    <w:rsid w:val="000E1908"/>
    <w:rsid w:val="000E1B66"/>
    <w:rsid w:val="000E1ED6"/>
    <w:rsid w:val="000E22FC"/>
    <w:rsid w:val="000E23D8"/>
    <w:rsid w:val="000E26E2"/>
    <w:rsid w:val="000E2811"/>
    <w:rsid w:val="000E2902"/>
    <w:rsid w:val="000E2B72"/>
    <w:rsid w:val="000E3483"/>
    <w:rsid w:val="000E3AEE"/>
    <w:rsid w:val="000E3E7D"/>
    <w:rsid w:val="000E40A7"/>
    <w:rsid w:val="000E48FD"/>
    <w:rsid w:val="000E4938"/>
    <w:rsid w:val="000E4C4F"/>
    <w:rsid w:val="000E59D5"/>
    <w:rsid w:val="000E64B2"/>
    <w:rsid w:val="000E6766"/>
    <w:rsid w:val="000E6C02"/>
    <w:rsid w:val="000E6C77"/>
    <w:rsid w:val="000E6CA4"/>
    <w:rsid w:val="000E76ED"/>
    <w:rsid w:val="000E7A35"/>
    <w:rsid w:val="000E7B29"/>
    <w:rsid w:val="000E7E04"/>
    <w:rsid w:val="000F01EE"/>
    <w:rsid w:val="000F0267"/>
    <w:rsid w:val="000F02AE"/>
    <w:rsid w:val="000F05C8"/>
    <w:rsid w:val="000F068B"/>
    <w:rsid w:val="000F08BC"/>
    <w:rsid w:val="000F0A62"/>
    <w:rsid w:val="000F10A4"/>
    <w:rsid w:val="000F15AD"/>
    <w:rsid w:val="000F199B"/>
    <w:rsid w:val="000F1E16"/>
    <w:rsid w:val="000F2146"/>
    <w:rsid w:val="000F23A5"/>
    <w:rsid w:val="000F29A7"/>
    <w:rsid w:val="000F2BAA"/>
    <w:rsid w:val="000F2D66"/>
    <w:rsid w:val="000F2FA1"/>
    <w:rsid w:val="000F3759"/>
    <w:rsid w:val="000F37E4"/>
    <w:rsid w:val="000F37E5"/>
    <w:rsid w:val="000F39B8"/>
    <w:rsid w:val="000F3A4B"/>
    <w:rsid w:val="000F3B2E"/>
    <w:rsid w:val="000F4DF5"/>
    <w:rsid w:val="000F4E2F"/>
    <w:rsid w:val="000F5173"/>
    <w:rsid w:val="000F5949"/>
    <w:rsid w:val="000F66C7"/>
    <w:rsid w:val="000F69DF"/>
    <w:rsid w:val="000F6E36"/>
    <w:rsid w:val="000F7009"/>
    <w:rsid w:val="000F7290"/>
    <w:rsid w:val="000F7AB5"/>
    <w:rsid w:val="001009E9"/>
    <w:rsid w:val="00100B9A"/>
    <w:rsid w:val="0010127F"/>
    <w:rsid w:val="00101831"/>
    <w:rsid w:val="00101D1C"/>
    <w:rsid w:val="00101F30"/>
    <w:rsid w:val="001021C1"/>
    <w:rsid w:val="00102D9D"/>
    <w:rsid w:val="00102FDC"/>
    <w:rsid w:val="00103093"/>
    <w:rsid w:val="00103125"/>
    <w:rsid w:val="00103283"/>
    <w:rsid w:val="00103409"/>
    <w:rsid w:val="001035AE"/>
    <w:rsid w:val="00103BB5"/>
    <w:rsid w:val="00103E21"/>
    <w:rsid w:val="00103FEE"/>
    <w:rsid w:val="001042DF"/>
    <w:rsid w:val="00104620"/>
    <w:rsid w:val="0010489F"/>
    <w:rsid w:val="00104D7F"/>
    <w:rsid w:val="00104DFE"/>
    <w:rsid w:val="00104F73"/>
    <w:rsid w:val="00105665"/>
    <w:rsid w:val="00105D97"/>
    <w:rsid w:val="001060C4"/>
    <w:rsid w:val="001063C3"/>
    <w:rsid w:val="00106666"/>
    <w:rsid w:val="0010669A"/>
    <w:rsid w:val="00106B80"/>
    <w:rsid w:val="0010711D"/>
    <w:rsid w:val="0010751A"/>
    <w:rsid w:val="00107E4F"/>
    <w:rsid w:val="00110125"/>
    <w:rsid w:val="001102F2"/>
    <w:rsid w:val="0011036C"/>
    <w:rsid w:val="00110871"/>
    <w:rsid w:val="00110873"/>
    <w:rsid w:val="001108DB"/>
    <w:rsid w:val="00110FC5"/>
    <w:rsid w:val="00111263"/>
    <w:rsid w:val="00111374"/>
    <w:rsid w:val="00111E29"/>
    <w:rsid w:val="001122A1"/>
    <w:rsid w:val="001122F8"/>
    <w:rsid w:val="001126EB"/>
    <w:rsid w:val="00112990"/>
    <w:rsid w:val="00113386"/>
    <w:rsid w:val="00113475"/>
    <w:rsid w:val="00114535"/>
    <w:rsid w:val="001145CF"/>
    <w:rsid w:val="00114E5B"/>
    <w:rsid w:val="00114F74"/>
    <w:rsid w:val="001150FA"/>
    <w:rsid w:val="001158DC"/>
    <w:rsid w:val="001159C1"/>
    <w:rsid w:val="00115D80"/>
    <w:rsid w:val="00115F7C"/>
    <w:rsid w:val="00116B89"/>
    <w:rsid w:val="00117632"/>
    <w:rsid w:val="0011795C"/>
    <w:rsid w:val="00120470"/>
    <w:rsid w:val="00120471"/>
    <w:rsid w:val="001206E9"/>
    <w:rsid w:val="001208A1"/>
    <w:rsid w:val="00120DC9"/>
    <w:rsid w:val="00120E90"/>
    <w:rsid w:val="00120EDD"/>
    <w:rsid w:val="00121261"/>
    <w:rsid w:val="00121546"/>
    <w:rsid w:val="0012171A"/>
    <w:rsid w:val="00121EDB"/>
    <w:rsid w:val="001227AA"/>
    <w:rsid w:val="00122C13"/>
    <w:rsid w:val="00122EAD"/>
    <w:rsid w:val="00122FE0"/>
    <w:rsid w:val="0012323C"/>
    <w:rsid w:val="00123700"/>
    <w:rsid w:val="00123D16"/>
    <w:rsid w:val="0012409E"/>
    <w:rsid w:val="001244D3"/>
    <w:rsid w:val="00124683"/>
    <w:rsid w:val="0012497C"/>
    <w:rsid w:val="00124CFD"/>
    <w:rsid w:val="001250C9"/>
    <w:rsid w:val="00125481"/>
    <w:rsid w:val="00125BC8"/>
    <w:rsid w:val="00125D49"/>
    <w:rsid w:val="0012600E"/>
    <w:rsid w:val="001262D7"/>
    <w:rsid w:val="001265DD"/>
    <w:rsid w:val="00126C2F"/>
    <w:rsid w:val="00127112"/>
    <w:rsid w:val="00127246"/>
    <w:rsid w:val="001278F2"/>
    <w:rsid w:val="00127D72"/>
    <w:rsid w:val="001309F8"/>
    <w:rsid w:val="00130BAD"/>
    <w:rsid w:val="00130CAC"/>
    <w:rsid w:val="00130D37"/>
    <w:rsid w:val="00130D52"/>
    <w:rsid w:val="00130E6F"/>
    <w:rsid w:val="00131791"/>
    <w:rsid w:val="001318A8"/>
    <w:rsid w:val="00131A95"/>
    <w:rsid w:val="00131CE1"/>
    <w:rsid w:val="00131DDD"/>
    <w:rsid w:val="0013251A"/>
    <w:rsid w:val="00132790"/>
    <w:rsid w:val="00132C02"/>
    <w:rsid w:val="00133AA1"/>
    <w:rsid w:val="00133BC5"/>
    <w:rsid w:val="00133D8E"/>
    <w:rsid w:val="00134186"/>
    <w:rsid w:val="001342E2"/>
    <w:rsid w:val="001349E7"/>
    <w:rsid w:val="00134C64"/>
    <w:rsid w:val="00134F37"/>
    <w:rsid w:val="00134FE3"/>
    <w:rsid w:val="0013510B"/>
    <w:rsid w:val="001352E4"/>
    <w:rsid w:val="00135422"/>
    <w:rsid w:val="001355DA"/>
    <w:rsid w:val="00135718"/>
    <w:rsid w:val="00135F4C"/>
    <w:rsid w:val="001360D7"/>
    <w:rsid w:val="00136174"/>
    <w:rsid w:val="001362F1"/>
    <w:rsid w:val="001363EB"/>
    <w:rsid w:val="00136A26"/>
    <w:rsid w:val="0013733A"/>
    <w:rsid w:val="00137477"/>
    <w:rsid w:val="0013749F"/>
    <w:rsid w:val="00137568"/>
    <w:rsid w:val="001375EF"/>
    <w:rsid w:val="00137609"/>
    <w:rsid w:val="00137690"/>
    <w:rsid w:val="00137B76"/>
    <w:rsid w:val="00137DE6"/>
    <w:rsid w:val="00137EFA"/>
    <w:rsid w:val="001400DC"/>
    <w:rsid w:val="001401AA"/>
    <w:rsid w:val="00140209"/>
    <w:rsid w:val="00140214"/>
    <w:rsid w:val="00140333"/>
    <w:rsid w:val="001404DB"/>
    <w:rsid w:val="00140595"/>
    <w:rsid w:val="001408A7"/>
    <w:rsid w:val="00140AE8"/>
    <w:rsid w:val="00140AF1"/>
    <w:rsid w:val="00140C74"/>
    <w:rsid w:val="00141824"/>
    <w:rsid w:val="00141929"/>
    <w:rsid w:val="00141AB9"/>
    <w:rsid w:val="00141D78"/>
    <w:rsid w:val="00141E40"/>
    <w:rsid w:val="00142000"/>
    <w:rsid w:val="00142683"/>
    <w:rsid w:val="0014290F"/>
    <w:rsid w:val="00143130"/>
    <w:rsid w:val="001433A9"/>
    <w:rsid w:val="001433C8"/>
    <w:rsid w:val="00143DC6"/>
    <w:rsid w:val="001446B9"/>
    <w:rsid w:val="0014486B"/>
    <w:rsid w:val="00144903"/>
    <w:rsid w:val="0014493F"/>
    <w:rsid w:val="00144EC2"/>
    <w:rsid w:val="0014573F"/>
    <w:rsid w:val="001457C9"/>
    <w:rsid w:val="00145905"/>
    <w:rsid w:val="001462A8"/>
    <w:rsid w:val="001463A0"/>
    <w:rsid w:val="001471F5"/>
    <w:rsid w:val="001472CD"/>
    <w:rsid w:val="001473BF"/>
    <w:rsid w:val="00147423"/>
    <w:rsid w:val="0014769C"/>
    <w:rsid w:val="00147B87"/>
    <w:rsid w:val="00147F66"/>
    <w:rsid w:val="00150208"/>
    <w:rsid w:val="0015034C"/>
    <w:rsid w:val="00150A0C"/>
    <w:rsid w:val="00150FAA"/>
    <w:rsid w:val="001513D1"/>
    <w:rsid w:val="00151503"/>
    <w:rsid w:val="00151955"/>
    <w:rsid w:val="00151964"/>
    <w:rsid w:val="00151FDA"/>
    <w:rsid w:val="0015257C"/>
    <w:rsid w:val="00152613"/>
    <w:rsid w:val="00152CBC"/>
    <w:rsid w:val="00152D2D"/>
    <w:rsid w:val="0015367E"/>
    <w:rsid w:val="00153BF3"/>
    <w:rsid w:val="00153FAF"/>
    <w:rsid w:val="00153FF1"/>
    <w:rsid w:val="001544AB"/>
    <w:rsid w:val="00154BD8"/>
    <w:rsid w:val="001554F8"/>
    <w:rsid w:val="0015607E"/>
    <w:rsid w:val="0015614D"/>
    <w:rsid w:val="0015628E"/>
    <w:rsid w:val="00156481"/>
    <w:rsid w:val="001565B9"/>
    <w:rsid w:val="0015681A"/>
    <w:rsid w:val="0015688B"/>
    <w:rsid w:val="001569BD"/>
    <w:rsid w:val="00156DB2"/>
    <w:rsid w:val="00156F9C"/>
    <w:rsid w:val="00157099"/>
    <w:rsid w:val="00157219"/>
    <w:rsid w:val="001575D0"/>
    <w:rsid w:val="00157794"/>
    <w:rsid w:val="00157B7A"/>
    <w:rsid w:val="001600F7"/>
    <w:rsid w:val="00160851"/>
    <w:rsid w:val="001609A1"/>
    <w:rsid w:val="00161111"/>
    <w:rsid w:val="00161512"/>
    <w:rsid w:val="001619A3"/>
    <w:rsid w:val="00162EB2"/>
    <w:rsid w:val="00163B0D"/>
    <w:rsid w:val="0016497B"/>
    <w:rsid w:val="00164DE1"/>
    <w:rsid w:val="0016543A"/>
    <w:rsid w:val="00165761"/>
    <w:rsid w:val="00165D8F"/>
    <w:rsid w:val="00165EDA"/>
    <w:rsid w:val="0016644B"/>
    <w:rsid w:val="00166563"/>
    <w:rsid w:val="00166666"/>
    <w:rsid w:val="001668E9"/>
    <w:rsid w:val="00166B21"/>
    <w:rsid w:val="00167205"/>
    <w:rsid w:val="001673A9"/>
    <w:rsid w:val="001675C5"/>
    <w:rsid w:val="00167B3E"/>
    <w:rsid w:val="00167B40"/>
    <w:rsid w:val="0017040B"/>
    <w:rsid w:val="00170B9C"/>
    <w:rsid w:val="00171357"/>
    <w:rsid w:val="001714D0"/>
    <w:rsid w:val="00171C52"/>
    <w:rsid w:val="00171D4D"/>
    <w:rsid w:val="00171DAD"/>
    <w:rsid w:val="00171EBC"/>
    <w:rsid w:val="00172544"/>
    <w:rsid w:val="0017256B"/>
    <w:rsid w:val="0017287D"/>
    <w:rsid w:val="00172C08"/>
    <w:rsid w:val="00172C43"/>
    <w:rsid w:val="00172F14"/>
    <w:rsid w:val="001735EC"/>
    <w:rsid w:val="001738DF"/>
    <w:rsid w:val="00173DF6"/>
    <w:rsid w:val="00173F67"/>
    <w:rsid w:val="00173F89"/>
    <w:rsid w:val="00174518"/>
    <w:rsid w:val="001747C2"/>
    <w:rsid w:val="00174A4F"/>
    <w:rsid w:val="00174D21"/>
    <w:rsid w:val="00175668"/>
    <w:rsid w:val="0017594C"/>
    <w:rsid w:val="00175E4C"/>
    <w:rsid w:val="0017653F"/>
    <w:rsid w:val="001766D1"/>
    <w:rsid w:val="0017691B"/>
    <w:rsid w:val="001772B6"/>
    <w:rsid w:val="001772BC"/>
    <w:rsid w:val="001772CE"/>
    <w:rsid w:val="0017745C"/>
    <w:rsid w:val="00177A46"/>
    <w:rsid w:val="00177AA7"/>
    <w:rsid w:val="0018053F"/>
    <w:rsid w:val="00180612"/>
    <w:rsid w:val="00180961"/>
    <w:rsid w:val="00180EF1"/>
    <w:rsid w:val="0018163D"/>
    <w:rsid w:val="00181A11"/>
    <w:rsid w:val="00181FFD"/>
    <w:rsid w:val="001820F9"/>
    <w:rsid w:val="0018245B"/>
    <w:rsid w:val="001824AD"/>
    <w:rsid w:val="001824D7"/>
    <w:rsid w:val="00182590"/>
    <w:rsid w:val="00182890"/>
    <w:rsid w:val="00182C0E"/>
    <w:rsid w:val="00182CEA"/>
    <w:rsid w:val="00183354"/>
    <w:rsid w:val="001834F4"/>
    <w:rsid w:val="001837E8"/>
    <w:rsid w:val="00183848"/>
    <w:rsid w:val="00183E76"/>
    <w:rsid w:val="001840EA"/>
    <w:rsid w:val="00184231"/>
    <w:rsid w:val="00184241"/>
    <w:rsid w:val="001843B4"/>
    <w:rsid w:val="001843FE"/>
    <w:rsid w:val="00184A0F"/>
    <w:rsid w:val="00184B64"/>
    <w:rsid w:val="00184BA8"/>
    <w:rsid w:val="00184CB7"/>
    <w:rsid w:val="00184DF1"/>
    <w:rsid w:val="00184FD3"/>
    <w:rsid w:val="00184FE4"/>
    <w:rsid w:val="001853DA"/>
    <w:rsid w:val="0018569D"/>
    <w:rsid w:val="00185B8B"/>
    <w:rsid w:val="00185DB3"/>
    <w:rsid w:val="00186673"/>
    <w:rsid w:val="001868AB"/>
    <w:rsid w:val="00186AC5"/>
    <w:rsid w:val="001870D7"/>
    <w:rsid w:val="001875F2"/>
    <w:rsid w:val="001876D4"/>
    <w:rsid w:val="00187A00"/>
    <w:rsid w:val="00187BA0"/>
    <w:rsid w:val="00190436"/>
    <w:rsid w:val="001904FD"/>
    <w:rsid w:val="001905C4"/>
    <w:rsid w:val="001905ED"/>
    <w:rsid w:val="00190AC0"/>
    <w:rsid w:val="00190E10"/>
    <w:rsid w:val="00191220"/>
    <w:rsid w:val="001917DD"/>
    <w:rsid w:val="00191904"/>
    <w:rsid w:val="00191B5F"/>
    <w:rsid w:val="00191CD7"/>
    <w:rsid w:val="00191EA9"/>
    <w:rsid w:val="00192078"/>
    <w:rsid w:val="001923C8"/>
    <w:rsid w:val="00192690"/>
    <w:rsid w:val="0019273E"/>
    <w:rsid w:val="00192920"/>
    <w:rsid w:val="00192B80"/>
    <w:rsid w:val="0019305E"/>
    <w:rsid w:val="00193125"/>
    <w:rsid w:val="001937C4"/>
    <w:rsid w:val="00194031"/>
    <w:rsid w:val="00194126"/>
    <w:rsid w:val="0019424C"/>
    <w:rsid w:val="00194EFB"/>
    <w:rsid w:val="001953D7"/>
    <w:rsid w:val="00195DB3"/>
    <w:rsid w:val="00195E98"/>
    <w:rsid w:val="00195F8A"/>
    <w:rsid w:val="00196090"/>
    <w:rsid w:val="0019630A"/>
    <w:rsid w:val="001963B8"/>
    <w:rsid w:val="001964AA"/>
    <w:rsid w:val="001966AB"/>
    <w:rsid w:val="00196BEB"/>
    <w:rsid w:val="00196E2A"/>
    <w:rsid w:val="001970A2"/>
    <w:rsid w:val="00197184"/>
    <w:rsid w:val="0019773F"/>
    <w:rsid w:val="00197BBD"/>
    <w:rsid w:val="00197CE7"/>
    <w:rsid w:val="00197E28"/>
    <w:rsid w:val="001A03D8"/>
    <w:rsid w:val="001A0826"/>
    <w:rsid w:val="001A087D"/>
    <w:rsid w:val="001A1285"/>
    <w:rsid w:val="001A1432"/>
    <w:rsid w:val="001A147A"/>
    <w:rsid w:val="001A25BB"/>
    <w:rsid w:val="001A26C3"/>
    <w:rsid w:val="001A294B"/>
    <w:rsid w:val="001A302C"/>
    <w:rsid w:val="001A37E5"/>
    <w:rsid w:val="001A3BC3"/>
    <w:rsid w:val="001A3D43"/>
    <w:rsid w:val="001A43EF"/>
    <w:rsid w:val="001A4993"/>
    <w:rsid w:val="001A5045"/>
    <w:rsid w:val="001A5135"/>
    <w:rsid w:val="001A5961"/>
    <w:rsid w:val="001A5E11"/>
    <w:rsid w:val="001A63CF"/>
    <w:rsid w:val="001A744A"/>
    <w:rsid w:val="001A75BD"/>
    <w:rsid w:val="001A7BD2"/>
    <w:rsid w:val="001A7F3D"/>
    <w:rsid w:val="001B02F0"/>
    <w:rsid w:val="001B0402"/>
    <w:rsid w:val="001B0642"/>
    <w:rsid w:val="001B06A2"/>
    <w:rsid w:val="001B0CF4"/>
    <w:rsid w:val="001B1442"/>
    <w:rsid w:val="001B1832"/>
    <w:rsid w:val="001B18C3"/>
    <w:rsid w:val="001B1E72"/>
    <w:rsid w:val="001B1FEA"/>
    <w:rsid w:val="001B226F"/>
    <w:rsid w:val="001B32C2"/>
    <w:rsid w:val="001B3458"/>
    <w:rsid w:val="001B3ACB"/>
    <w:rsid w:val="001B3C33"/>
    <w:rsid w:val="001B3CDD"/>
    <w:rsid w:val="001B469E"/>
    <w:rsid w:val="001B51FF"/>
    <w:rsid w:val="001B54B3"/>
    <w:rsid w:val="001B554C"/>
    <w:rsid w:val="001B587E"/>
    <w:rsid w:val="001B6430"/>
    <w:rsid w:val="001B6BC8"/>
    <w:rsid w:val="001B70CB"/>
    <w:rsid w:val="001B7307"/>
    <w:rsid w:val="001B7A8F"/>
    <w:rsid w:val="001C0445"/>
    <w:rsid w:val="001C04D9"/>
    <w:rsid w:val="001C08C0"/>
    <w:rsid w:val="001C0C0E"/>
    <w:rsid w:val="001C1CC0"/>
    <w:rsid w:val="001C1DDC"/>
    <w:rsid w:val="001C2164"/>
    <w:rsid w:val="001C21BD"/>
    <w:rsid w:val="001C240B"/>
    <w:rsid w:val="001C26DE"/>
    <w:rsid w:val="001C38C9"/>
    <w:rsid w:val="001C3DB2"/>
    <w:rsid w:val="001C3F1D"/>
    <w:rsid w:val="001C40D0"/>
    <w:rsid w:val="001C4111"/>
    <w:rsid w:val="001C4118"/>
    <w:rsid w:val="001C420C"/>
    <w:rsid w:val="001C4689"/>
    <w:rsid w:val="001C469C"/>
    <w:rsid w:val="001C4806"/>
    <w:rsid w:val="001C4A69"/>
    <w:rsid w:val="001C4AA0"/>
    <w:rsid w:val="001C4AC5"/>
    <w:rsid w:val="001C4B56"/>
    <w:rsid w:val="001C4F1D"/>
    <w:rsid w:val="001C5B79"/>
    <w:rsid w:val="001C6354"/>
    <w:rsid w:val="001C689B"/>
    <w:rsid w:val="001C6BCA"/>
    <w:rsid w:val="001C6BEF"/>
    <w:rsid w:val="001C70E5"/>
    <w:rsid w:val="001C7310"/>
    <w:rsid w:val="001C740B"/>
    <w:rsid w:val="001C7982"/>
    <w:rsid w:val="001C7ADC"/>
    <w:rsid w:val="001C7B1C"/>
    <w:rsid w:val="001C7F21"/>
    <w:rsid w:val="001D0BE2"/>
    <w:rsid w:val="001D0D8A"/>
    <w:rsid w:val="001D0F0B"/>
    <w:rsid w:val="001D0F79"/>
    <w:rsid w:val="001D19CB"/>
    <w:rsid w:val="001D1D90"/>
    <w:rsid w:val="001D1DA6"/>
    <w:rsid w:val="001D20EC"/>
    <w:rsid w:val="001D27D0"/>
    <w:rsid w:val="001D2CAC"/>
    <w:rsid w:val="001D2CD3"/>
    <w:rsid w:val="001D2F26"/>
    <w:rsid w:val="001D2F5B"/>
    <w:rsid w:val="001D303B"/>
    <w:rsid w:val="001D3703"/>
    <w:rsid w:val="001D3E93"/>
    <w:rsid w:val="001D3F49"/>
    <w:rsid w:val="001D408E"/>
    <w:rsid w:val="001D4365"/>
    <w:rsid w:val="001D4491"/>
    <w:rsid w:val="001D4A4B"/>
    <w:rsid w:val="001D4B4E"/>
    <w:rsid w:val="001D4D75"/>
    <w:rsid w:val="001D4FC7"/>
    <w:rsid w:val="001D55A5"/>
    <w:rsid w:val="001D5748"/>
    <w:rsid w:val="001D63D8"/>
    <w:rsid w:val="001D667C"/>
    <w:rsid w:val="001D67F8"/>
    <w:rsid w:val="001D6F76"/>
    <w:rsid w:val="001D7066"/>
    <w:rsid w:val="001D74CA"/>
    <w:rsid w:val="001D793B"/>
    <w:rsid w:val="001E09A7"/>
    <w:rsid w:val="001E0F94"/>
    <w:rsid w:val="001E0FF4"/>
    <w:rsid w:val="001E1286"/>
    <w:rsid w:val="001E15E2"/>
    <w:rsid w:val="001E1A98"/>
    <w:rsid w:val="001E1E36"/>
    <w:rsid w:val="001E1E3A"/>
    <w:rsid w:val="001E2335"/>
    <w:rsid w:val="001E27FE"/>
    <w:rsid w:val="001E2810"/>
    <w:rsid w:val="001E29E2"/>
    <w:rsid w:val="001E2CA9"/>
    <w:rsid w:val="001E3066"/>
    <w:rsid w:val="001E3381"/>
    <w:rsid w:val="001E35F4"/>
    <w:rsid w:val="001E3922"/>
    <w:rsid w:val="001E3C7F"/>
    <w:rsid w:val="001E40F9"/>
    <w:rsid w:val="001E47A6"/>
    <w:rsid w:val="001E47AC"/>
    <w:rsid w:val="001E4E64"/>
    <w:rsid w:val="001E4E7D"/>
    <w:rsid w:val="001E4F25"/>
    <w:rsid w:val="001E543F"/>
    <w:rsid w:val="001E5489"/>
    <w:rsid w:val="001E5915"/>
    <w:rsid w:val="001E595C"/>
    <w:rsid w:val="001E5999"/>
    <w:rsid w:val="001E64FF"/>
    <w:rsid w:val="001E6585"/>
    <w:rsid w:val="001E65E4"/>
    <w:rsid w:val="001E692A"/>
    <w:rsid w:val="001E6E44"/>
    <w:rsid w:val="001E6F1F"/>
    <w:rsid w:val="001E72A7"/>
    <w:rsid w:val="001E72C4"/>
    <w:rsid w:val="001E73FF"/>
    <w:rsid w:val="001E745F"/>
    <w:rsid w:val="001E7646"/>
    <w:rsid w:val="001E769C"/>
    <w:rsid w:val="001E7F0C"/>
    <w:rsid w:val="001F01B7"/>
    <w:rsid w:val="001F01DF"/>
    <w:rsid w:val="001F0282"/>
    <w:rsid w:val="001F0482"/>
    <w:rsid w:val="001F0703"/>
    <w:rsid w:val="001F07DE"/>
    <w:rsid w:val="001F1D89"/>
    <w:rsid w:val="001F271E"/>
    <w:rsid w:val="001F3AED"/>
    <w:rsid w:val="001F429A"/>
    <w:rsid w:val="001F4A07"/>
    <w:rsid w:val="001F4E47"/>
    <w:rsid w:val="001F4FF4"/>
    <w:rsid w:val="001F51D4"/>
    <w:rsid w:val="001F52DF"/>
    <w:rsid w:val="001F558E"/>
    <w:rsid w:val="001F5638"/>
    <w:rsid w:val="001F58D0"/>
    <w:rsid w:val="001F5CF7"/>
    <w:rsid w:val="001F5F36"/>
    <w:rsid w:val="001F610D"/>
    <w:rsid w:val="001F6424"/>
    <w:rsid w:val="001F6C7F"/>
    <w:rsid w:val="001F6C83"/>
    <w:rsid w:val="001F6E4D"/>
    <w:rsid w:val="001F6FD0"/>
    <w:rsid w:val="001F711D"/>
    <w:rsid w:val="001F71E5"/>
    <w:rsid w:val="001F7678"/>
    <w:rsid w:val="001F7B6F"/>
    <w:rsid w:val="001F7BE6"/>
    <w:rsid w:val="001F7DFB"/>
    <w:rsid w:val="001F7F19"/>
    <w:rsid w:val="001F7F41"/>
    <w:rsid w:val="002002A3"/>
    <w:rsid w:val="002002EE"/>
    <w:rsid w:val="0020083D"/>
    <w:rsid w:val="00200D91"/>
    <w:rsid w:val="00200E28"/>
    <w:rsid w:val="002020CD"/>
    <w:rsid w:val="0020220C"/>
    <w:rsid w:val="002024C7"/>
    <w:rsid w:val="00202DED"/>
    <w:rsid w:val="00202FD3"/>
    <w:rsid w:val="002033DF"/>
    <w:rsid w:val="00203479"/>
    <w:rsid w:val="00203716"/>
    <w:rsid w:val="0020395E"/>
    <w:rsid w:val="00203B22"/>
    <w:rsid w:val="00203B4F"/>
    <w:rsid w:val="00203C1C"/>
    <w:rsid w:val="00204097"/>
    <w:rsid w:val="00204885"/>
    <w:rsid w:val="00204A07"/>
    <w:rsid w:val="00205145"/>
    <w:rsid w:val="002051F7"/>
    <w:rsid w:val="0020552A"/>
    <w:rsid w:val="002056EE"/>
    <w:rsid w:val="00205910"/>
    <w:rsid w:val="00205EE6"/>
    <w:rsid w:val="002061B5"/>
    <w:rsid w:val="00206399"/>
    <w:rsid w:val="0020656A"/>
    <w:rsid w:val="00206665"/>
    <w:rsid w:val="002067C6"/>
    <w:rsid w:val="00206930"/>
    <w:rsid w:val="0020703F"/>
    <w:rsid w:val="0020709D"/>
    <w:rsid w:val="0020765E"/>
    <w:rsid w:val="00207E6D"/>
    <w:rsid w:val="002100E8"/>
    <w:rsid w:val="002101F5"/>
    <w:rsid w:val="002106C2"/>
    <w:rsid w:val="00210766"/>
    <w:rsid w:val="002112B1"/>
    <w:rsid w:val="00211308"/>
    <w:rsid w:val="0021150A"/>
    <w:rsid w:val="00211543"/>
    <w:rsid w:val="002115C5"/>
    <w:rsid w:val="002117C3"/>
    <w:rsid w:val="00211D5B"/>
    <w:rsid w:val="002120B7"/>
    <w:rsid w:val="00212944"/>
    <w:rsid w:val="00213168"/>
    <w:rsid w:val="0021328D"/>
    <w:rsid w:val="002132D8"/>
    <w:rsid w:val="00213598"/>
    <w:rsid w:val="00213A87"/>
    <w:rsid w:val="00213C78"/>
    <w:rsid w:val="00214556"/>
    <w:rsid w:val="00214B44"/>
    <w:rsid w:val="0021528F"/>
    <w:rsid w:val="0021537E"/>
    <w:rsid w:val="00215676"/>
    <w:rsid w:val="00215764"/>
    <w:rsid w:val="00215965"/>
    <w:rsid w:val="002160CA"/>
    <w:rsid w:val="00216966"/>
    <w:rsid w:val="00216C41"/>
    <w:rsid w:val="00216D90"/>
    <w:rsid w:val="00217056"/>
    <w:rsid w:val="0021727D"/>
    <w:rsid w:val="0021734D"/>
    <w:rsid w:val="002174BF"/>
    <w:rsid w:val="0021780A"/>
    <w:rsid w:val="00217857"/>
    <w:rsid w:val="00217F08"/>
    <w:rsid w:val="002203C3"/>
    <w:rsid w:val="00220A71"/>
    <w:rsid w:val="00220BC8"/>
    <w:rsid w:val="00220C7F"/>
    <w:rsid w:val="00221426"/>
    <w:rsid w:val="002219AB"/>
    <w:rsid w:val="00221F9A"/>
    <w:rsid w:val="00222022"/>
    <w:rsid w:val="002226E0"/>
    <w:rsid w:val="0022270C"/>
    <w:rsid w:val="00222A3E"/>
    <w:rsid w:val="00222D28"/>
    <w:rsid w:val="00222DCC"/>
    <w:rsid w:val="00222E87"/>
    <w:rsid w:val="00223643"/>
    <w:rsid w:val="0022368D"/>
    <w:rsid w:val="00223F22"/>
    <w:rsid w:val="002241FA"/>
    <w:rsid w:val="00224645"/>
    <w:rsid w:val="00224B39"/>
    <w:rsid w:val="002254A1"/>
    <w:rsid w:val="00225AF4"/>
    <w:rsid w:val="00225EFF"/>
    <w:rsid w:val="00226672"/>
    <w:rsid w:val="002266B5"/>
    <w:rsid w:val="002267F8"/>
    <w:rsid w:val="00226E1B"/>
    <w:rsid w:val="00226F9A"/>
    <w:rsid w:val="00227434"/>
    <w:rsid w:val="0022766C"/>
    <w:rsid w:val="00227827"/>
    <w:rsid w:val="00227BF1"/>
    <w:rsid w:val="00227F9F"/>
    <w:rsid w:val="00230332"/>
    <w:rsid w:val="00230630"/>
    <w:rsid w:val="002307F0"/>
    <w:rsid w:val="00230B65"/>
    <w:rsid w:val="00230C78"/>
    <w:rsid w:val="0023110C"/>
    <w:rsid w:val="002322D0"/>
    <w:rsid w:val="00232B66"/>
    <w:rsid w:val="00232C2A"/>
    <w:rsid w:val="00232FD2"/>
    <w:rsid w:val="00234135"/>
    <w:rsid w:val="002345CA"/>
    <w:rsid w:val="002345D8"/>
    <w:rsid w:val="002349DF"/>
    <w:rsid w:val="002350AC"/>
    <w:rsid w:val="0023520F"/>
    <w:rsid w:val="002355F2"/>
    <w:rsid w:val="0023583D"/>
    <w:rsid w:val="00236923"/>
    <w:rsid w:val="00236C8A"/>
    <w:rsid w:val="0023715D"/>
    <w:rsid w:val="002371AF"/>
    <w:rsid w:val="0023739D"/>
    <w:rsid w:val="0023772C"/>
    <w:rsid w:val="00237B89"/>
    <w:rsid w:val="00237BFB"/>
    <w:rsid w:val="00237FB2"/>
    <w:rsid w:val="00240194"/>
    <w:rsid w:val="002408C7"/>
    <w:rsid w:val="0024101C"/>
    <w:rsid w:val="00241882"/>
    <w:rsid w:val="002419C0"/>
    <w:rsid w:val="00241ABE"/>
    <w:rsid w:val="00241AD0"/>
    <w:rsid w:val="00241B91"/>
    <w:rsid w:val="0024227A"/>
    <w:rsid w:val="00242541"/>
    <w:rsid w:val="00242846"/>
    <w:rsid w:val="002430F1"/>
    <w:rsid w:val="002435ED"/>
    <w:rsid w:val="0024385E"/>
    <w:rsid w:val="00243D0A"/>
    <w:rsid w:val="00243DD8"/>
    <w:rsid w:val="00243E33"/>
    <w:rsid w:val="00243FF1"/>
    <w:rsid w:val="00244226"/>
    <w:rsid w:val="00244266"/>
    <w:rsid w:val="0024454A"/>
    <w:rsid w:val="00244A92"/>
    <w:rsid w:val="0024511A"/>
    <w:rsid w:val="00245490"/>
    <w:rsid w:val="00245554"/>
    <w:rsid w:val="0024558F"/>
    <w:rsid w:val="00245A59"/>
    <w:rsid w:val="00245B98"/>
    <w:rsid w:val="00245CC2"/>
    <w:rsid w:val="00245DAD"/>
    <w:rsid w:val="00246047"/>
    <w:rsid w:val="002460DC"/>
    <w:rsid w:val="002460DD"/>
    <w:rsid w:val="00246142"/>
    <w:rsid w:val="002462FB"/>
    <w:rsid w:val="00246855"/>
    <w:rsid w:val="00246CDD"/>
    <w:rsid w:val="00246F57"/>
    <w:rsid w:val="00246F60"/>
    <w:rsid w:val="00246FFB"/>
    <w:rsid w:val="00247469"/>
    <w:rsid w:val="0024759E"/>
    <w:rsid w:val="002475D7"/>
    <w:rsid w:val="002476B1"/>
    <w:rsid w:val="00247A56"/>
    <w:rsid w:val="00247D9D"/>
    <w:rsid w:val="002500C6"/>
    <w:rsid w:val="00250437"/>
    <w:rsid w:val="002505DE"/>
    <w:rsid w:val="00250862"/>
    <w:rsid w:val="002508FD"/>
    <w:rsid w:val="00250EC5"/>
    <w:rsid w:val="00251692"/>
    <w:rsid w:val="002516ED"/>
    <w:rsid w:val="0025199F"/>
    <w:rsid w:val="00251E21"/>
    <w:rsid w:val="002520DD"/>
    <w:rsid w:val="0025275F"/>
    <w:rsid w:val="0025294D"/>
    <w:rsid w:val="002534A9"/>
    <w:rsid w:val="00253AF9"/>
    <w:rsid w:val="00253DA2"/>
    <w:rsid w:val="00253DA9"/>
    <w:rsid w:val="00254645"/>
    <w:rsid w:val="0025472A"/>
    <w:rsid w:val="00254756"/>
    <w:rsid w:val="00254772"/>
    <w:rsid w:val="00254B2C"/>
    <w:rsid w:val="00254F6A"/>
    <w:rsid w:val="002555CB"/>
    <w:rsid w:val="002558C8"/>
    <w:rsid w:val="00255A80"/>
    <w:rsid w:val="00255BC6"/>
    <w:rsid w:val="00255ED8"/>
    <w:rsid w:val="0025623D"/>
    <w:rsid w:val="002568CC"/>
    <w:rsid w:val="00256923"/>
    <w:rsid w:val="00256951"/>
    <w:rsid w:val="00256FF7"/>
    <w:rsid w:val="002571DF"/>
    <w:rsid w:val="00257358"/>
    <w:rsid w:val="002573A9"/>
    <w:rsid w:val="00260A45"/>
    <w:rsid w:val="00260D95"/>
    <w:rsid w:val="002618F1"/>
    <w:rsid w:val="00261FFE"/>
    <w:rsid w:val="0026228E"/>
    <w:rsid w:val="00262841"/>
    <w:rsid w:val="00262892"/>
    <w:rsid w:val="00262910"/>
    <w:rsid w:val="00262B43"/>
    <w:rsid w:val="00262DF3"/>
    <w:rsid w:val="0026395A"/>
    <w:rsid w:val="00263B0B"/>
    <w:rsid w:val="00264369"/>
    <w:rsid w:val="00264729"/>
    <w:rsid w:val="00264A24"/>
    <w:rsid w:val="00264FC9"/>
    <w:rsid w:val="00265052"/>
    <w:rsid w:val="00265091"/>
    <w:rsid w:val="0026514D"/>
    <w:rsid w:val="00265359"/>
    <w:rsid w:val="0026574A"/>
    <w:rsid w:val="00265C12"/>
    <w:rsid w:val="00265F94"/>
    <w:rsid w:val="0026606E"/>
    <w:rsid w:val="00266333"/>
    <w:rsid w:val="00266408"/>
    <w:rsid w:val="00266B4F"/>
    <w:rsid w:val="002670F0"/>
    <w:rsid w:val="00267BA3"/>
    <w:rsid w:val="00270053"/>
    <w:rsid w:val="00270272"/>
    <w:rsid w:val="00271258"/>
    <w:rsid w:val="002712AC"/>
    <w:rsid w:val="0027153A"/>
    <w:rsid w:val="0027188A"/>
    <w:rsid w:val="00271A6C"/>
    <w:rsid w:val="00271D7E"/>
    <w:rsid w:val="00272295"/>
    <w:rsid w:val="002724EA"/>
    <w:rsid w:val="00273676"/>
    <w:rsid w:val="0027393C"/>
    <w:rsid w:val="00273FF5"/>
    <w:rsid w:val="002745C1"/>
    <w:rsid w:val="00274B6E"/>
    <w:rsid w:val="00274DA6"/>
    <w:rsid w:val="00274F22"/>
    <w:rsid w:val="00275235"/>
    <w:rsid w:val="00275B5A"/>
    <w:rsid w:val="002763EF"/>
    <w:rsid w:val="002768B9"/>
    <w:rsid w:val="00276E1E"/>
    <w:rsid w:val="00276F2B"/>
    <w:rsid w:val="00277545"/>
    <w:rsid w:val="00277A64"/>
    <w:rsid w:val="00277A86"/>
    <w:rsid w:val="00277A9C"/>
    <w:rsid w:val="00277B19"/>
    <w:rsid w:val="00277F11"/>
    <w:rsid w:val="00280240"/>
    <w:rsid w:val="002808BD"/>
    <w:rsid w:val="00281664"/>
    <w:rsid w:val="00281880"/>
    <w:rsid w:val="00281C1A"/>
    <w:rsid w:val="00282CCC"/>
    <w:rsid w:val="00283404"/>
    <w:rsid w:val="00283782"/>
    <w:rsid w:val="00283C20"/>
    <w:rsid w:val="002843A2"/>
    <w:rsid w:val="00284A95"/>
    <w:rsid w:val="00284CAA"/>
    <w:rsid w:val="00285076"/>
    <w:rsid w:val="002850E5"/>
    <w:rsid w:val="00285201"/>
    <w:rsid w:val="002860B0"/>
    <w:rsid w:val="002861F3"/>
    <w:rsid w:val="002866FB"/>
    <w:rsid w:val="00286890"/>
    <w:rsid w:val="00286D8E"/>
    <w:rsid w:val="00286DF3"/>
    <w:rsid w:val="00286FD0"/>
    <w:rsid w:val="00287577"/>
    <w:rsid w:val="00287A8F"/>
    <w:rsid w:val="00287CA3"/>
    <w:rsid w:val="00287DA8"/>
    <w:rsid w:val="002900E9"/>
    <w:rsid w:val="002901C4"/>
    <w:rsid w:val="00290309"/>
    <w:rsid w:val="0029036F"/>
    <w:rsid w:val="002906BF"/>
    <w:rsid w:val="00290823"/>
    <w:rsid w:val="002908A9"/>
    <w:rsid w:val="00290E35"/>
    <w:rsid w:val="00291209"/>
    <w:rsid w:val="00291380"/>
    <w:rsid w:val="00291A37"/>
    <w:rsid w:val="00291BCA"/>
    <w:rsid w:val="00291DB0"/>
    <w:rsid w:val="0029207F"/>
    <w:rsid w:val="002927CB"/>
    <w:rsid w:val="00292947"/>
    <w:rsid w:val="00292E5F"/>
    <w:rsid w:val="00293499"/>
    <w:rsid w:val="002937E9"/>
    <w:rsid w:val="00293F29"/>
    <w:rsid w:val="00293FBF"/>
    <w:rsid w:val="0029446D"/>
    <w:rsid w:val="002946CC"/>
    <w:rsid w:val="00295421"/>
    <w:rsid w:val="00295909"/>
    <w:rsid w:val="00295AF9"/>
    <w:rsid w:val="00295E25"/>
    <w:rsid w:val="00295E86"/>
    <w:rsid w:val="0029603C"/>
    <w:rsid w:val="002961C3"/>
    <w:rsid w:val="002968A8"/>
    <w:rsid w:val="0029697C"/>
    <w:rsid w:val="002970E7"/>
    <w:rsid w:val="00297394"/>
    <w:rsid w:val="002975B7"/>
    <w:rsid w:val="002978C1"/>
    <w:rsid w:val="002A01EA"/>
    <w:rsid w:val="002A0597"/>
    <w:rsid w:val="002A0DED"/>
    <w:rsid w:val="002A16FB"/>
    <w:rsid w:val="002A17AE"/>
    <w:rsid w:val="002A1C6B"/>
    <w:rsid w:val="002A1E63"/>
    <w:rsid w:val="002A204C"/>
    <w:rsid w:val="002A20A6"/>
    <w:rsid w:val="002A2465"/>
    <w:rsid w:val="002A26F8"/>
    <w:rsid w:val="002A2705"/>
    <w:rsid w:val="002A31CA"/>
    <w:rsid w:val="002A32AD"/>
    <w:rsid w:val="002A3459"/>
    <w:rsid w:val="002A3B85"/>
    <w:rsid w:val="002A3C4C"/>
    <w:rsid w:val="002A3D7E"/>
    <w:rsid w:val="002A4366"/>
    <w:rsid w:val="002A44BB"/>
    <w:rsid w:val="002A4B54"/>
    <w:rsid w:val="002A527E"/>
    <w:rsid w:val="002A5AD8"/>
    <w:rsid w:val="002A5D05"/>
    <w:rsid w:val="002A608B"/>
    <w:rsid w:val="002A6177"/>
    <w:rsid w:val="002A6772"/>
    <w:rsid w:val="002A6886"/>
    <w:rsid w:val="002A68DF"/>
    <w:rsid w:val="002A6F1D"/>
    <w:rsid w:val="002A6FB8"/>
    <w:rsid w:val="002A75D6"/>
    <w:rsid w:val="002A79FB"/>
    <w:rsid w:val="002A7C6B"/>
    <w:rsid w:val="002B0502"/>
    <w:rsid w:val="002B0643"/>
    <w:rsid w:val="002B07B3"/>
    <w:rsid w:val="002B0F05"/>
    <w:rsid w:val="002B13F9"/>
    <w:rsid w:val="002B18CC"/>
    <w:rsid w:val="002B1E2A"/>
    <w:rsid w:val="002B2545"/>
    <w:rsid w:val="002B2803"/>
    <w:rsid w:val="002B285B"/>
    <w:rsid w:val="002B2D33"/>
    <w:rsid w:val="002B2E22"/>
    <w:rsid w:val="002B30C5"/>
    <w:rsid w:val="002B3350"/>
    <w:rsid w:val="002B3609"/>
    <w:rsid w:val="002B389C"/>
    <w:rsid w:val="002B3A56"/>
    <w:rsid w:val="002B3AFA"/>
    <w:rsid w:val="002B3B8E"/>
    <w:rsid w:val="002B5490"/>
    <w:rsid w:val="002B5656"/>
    <w:rsid w:val="002B59F2"/>
    <w:rsid w:val="002B5A64"/>
    <w:rsid w:val="002B5B80"/>
    <w:rsid w:val="002B5BDE"/>
    <w:rsid w:val="002B5F77"/>
    <w:rsid w:val="002B6078"/>
    <w:rsid w:val="002B607D"/>
    <w:rsid w:val="002B614B"/>
    <w:rsid w:val="002B62C6"/>
    <w:rsid w:val="002B65DB"/>
    <w:rsid w:val="002B6654"/>
    <w:rsid w:val="002B6DBC"/>
    <w:rsid w:val="002B6FB3"/>
    <w:rsid w:val="002B7000"/>
    <w:rsid w:val="002B7645"/>
    <w:rsid w:val="002B77E0"/>
    <w:rsid w:val="002B7E2C"/>
    <w:rsid w:val="002B7FE5"/>
    <w:rsid w:val="002C00C8"/>
    <w:rsid w:val="002C0327"/>
    <w:rsid w:val="002C069B"/>
    <w:rsid w:val="002C08C9"/>
    <w:rsid w:val="002C093F"/>
    <w:rsid w:val="002C099B"/>
    <w:rsid w:val="002C0FB2"/>
    <w:rsid w:val="002C111B"/>
    <w:rsid w:val="002C1495"/>
    <w:rsid w:val="002C14BE"/>
    <w:rsid w:val="002C14C0"/>
    <w:rsid w:val="002C1AFB"/>
    <w:rsid w:val="002C1B5D"/>
    <w:rsid w:val="002C1D1D"/>
    <w:rsid w:val="002C207B"/>
    <w:rsid w:val="002C26A1"/>
    <w:rsid w:val="002C26BC"/>
    <w:rsid w:val="002C2FDF"/>
    <w:rsid w:val="002C31AA"/>
    <w:rsid w:val="002C32E4"/>
    <w:rsid w:val="002C3622"/>
    <w:rsid w:val="002C393F"/>
    <w:rsid w:val="002C3941"/>
    <w:rsid w:val="002C3963"/>
    <w:rsid w:val="002C3A4F"/>
    <w:rsid w:val="002C3C26"/>
    <w:rsid w:val="002C3D05"/>
    <w:rsid w:val="002C4204"/>
    <w:rsid w:val="002C4298"/>
    <w:rsid w:val="002C45ED"/>
    <w:rsid w:val="002C4721"/>
    <w:rsid w:val="002C48F4"/>
    <w:rsid w:val="002C4977"/>
    <w:rsid w:val="002C4B03"/>
    <w:rsid w:val="002C4EAF"/>
    <w:rsid w:val="002C551A"/>
    <w:rsid w:val="002C5BF7"/>
    <w:rsid w:val="002C6043"/>
    <w:rsid w:val="002C65A0"/>
    <w:rsid w:val="002C6CD5"/>
    <w:rsid w:val="002C6DE7"/>
    <w:rsid w:val="002C6F64"/>
    <w:rsid w:val="002C7081"/>
    <w:rsid w:val="002C72A0"/>
    <w:rsid w:val="002C7B1A"/>
    <w:rsid w:val="002D00C8"/>
    <w:rsid w:val="002D1271"/>
    <w:rsid w:val="002D1BA1"/>
    <w:rsid w:val="002D218D"/>
    <w:rsid w:val="002D21CD"/>
    <w:rsid w:val="002D2742"/>
    <w:rsid w:val="002D2767"/>
    <w:rsid w:val="002D27F3"/>
    <w:rsid w:val="002D2904"/>
    <w:rsid w:val="002D2D27"/>
    <w:rsid w:val="002D2E45"/>
    <w:rsid w:val="002D3054"/>
    <w:rsid w:val="002D3412"/>
    <w:rsid w:val="002D344E"/>
    <w:rsid w:val="002D3501"/>
    <w:rsid w:val="002D3737"/>
    <w:rsid w:val="002D381E"/>
    <w:rsid w:val="002D3822"/>
    <w:rsid w:val="002D4AD3"/>
    <w:rsid w:val="002D4B78"/>
    <w:rsid w:val="002D4F98"/>
    <w:rsid w:val="002D5912"/>
    <w:rsid w:val="002D59FD"/>
    <w:rsid w:val="002D5C2B"/>
    <w:rsid w:val="002D5D26"/>
    <w:rsid w:val="002D5F4B"/>
    <w:rsid w:val="002D6F36"/>
    <w:rsid w:val="002D718E"/>
    <w:rsid w:val="002D72F2"/>
    <w:rsid w:val="002D7312"/>
    <w:rsid w:val="002D73FC"/>
    <w:rsid w:val="002D76C7"/>
    <w:rsid w:val="002D796E"/>
    <w:rsid w:val="002D7AA3"/>
    <w:rsid w:val="002D7AA6"/>
    <w:rsid w:val="002E01AE"/>
    <w:rsid w:val="002E02AB"/>
    <w:rsid w:val="002E0413"/>
    <w:rsid w:val="002E09CE"/>
    <w:rsid w:val="002E0B4A"/>
    <w:rsid w:val="002E10A5"/>
    <w:rsid w:val="002E1228"/>
    <w:rsid w:val="002E12EE"/>
    <w:rsid w:val="002E157A"/>
    <w:rsid w:val="002E1639"/>
    <w:rsid w:val="002E1732"/>
    <w:rsid w:val="002E1A65"/>
    <w:rsid w:val="002E1E6A"/>
    <w:rsid w:val="002E1ECF"/>
    <w:rsid w:val="002E24ED"/>
    <w:rsid w:val="002E2C92"/>
    <w:rsid w:val="002E34D4"/>
    <w:rsid w:val="002E38D4"/>
    <w:rsid w:val="002E3DC1"/>
    <w:rsid w:val="002E48FF"/>
    <w:rsid w:val="002E4926"/>
    <w:rsid w:val="002E4CD3"/>
    <w:rsid w:val="002E575E"/>
    <w:rsid w:val="002E59D9"/>
    <w:rsid w:val="002E5BD7"/>
    <w:rsid w:val="002E61FC"/>
    <w:rsid w:val="002E6231"/>
    <w:rsid w:val="002E66D0"/>
    <w:rsid w:val="002E66F9"/>
    <w:rsid w:val="002E68EE"/>
    <w:rsid w:val="002E69DC"/>
    <w:rsid w:val="002E7186"/>
    <w:rsid w:val="002E71BA"/>
    <w:rsid w:val="002E727E"/>
    <w:rsid w:val="002E7E63"/>
    <w:rsid w:val="002E7FCF"/>
    <w:rsid w:val="002F02F6"/>
    <w:rsid w:val="002F0690"/>
    <w:rsid w:val="002F090E"/>
    <w:rsid w:val="002F11ED"/>
    <w:rsid w:val="002F142C"/>
    <w:rsid w:val="002F145F"/>
    <w:rsid w:val="002F1F9B"/>
    <w:rsid w:val="002F2112"/>
    <w:rsid w:val="002F2120"/>
    <w:rsid w:val="002F285B"/>
    <w:rsid w:val="002F2C83"/>
    <w:rsid w:val="002F3099"/>
    <w:rsid w:val="002F3358"/>
    <w:rsid w:val="002F38FC"/>
    <w:rsid w:val="002F3A00"/>
    <w:rsid w:val="002F40B1"/>
    <w:rsid w:val="002F44E5"/>
    <w:rsid w:val="002F4551"/>
    <w:rsid w:val="002F4AAD"/>
    <w:rsid w:val="002F5267"/>
    <w:rsid w:val="002F5853"/>
    <w:rsid w:val="002F6015"/>
    <w:rsid w:val="002F6136"/>
    <w:rsid w:val="002F6181"/>
    <w:rsid w:val="002F61C1"/>
    <w:rsid w:val="002F61DF"/>
    <w:rsid w:val="002F6D76"/>
    <w:rsid w:val="002F6E6E"/>
    <w:rsid w:val="002F6F79"/>
    <w:rsid w:val="002F705C"/>
    <w:rsid w:val="002F712C"/>
    <w:rsid w:val="002F7242"/>
    <w:rsid w:val="002F73C1"/>
    <w:rsid w:val="002F7ACC"/>
    <w:rsid w:val="002F7C49"/>
    <w:rsid w:val="003003BA"/>
    <w:rsid w:val="00300579"/>
    <w:rsid w:val="00300724"/>
    <w:rsid w:val="00300A8D"/>
    <w:rsid w:val="00301185"/>
    <w:rsid w:val="003013B4"/>
    <w:rsid w:val="00301579"/>
    <w:rsid w:val="0030163A"/>
    <w:rsid w:val="00301A85"/>
    <w:rsid w:val="00301B0C"/>
    <w:rsid w:val="00301B9F"/>
    <w:rsid w:val="00301FAB"/>
    <w:rsid w:val="003022A3"/>
    <w:rsid w:val="003022F4"/>
    <w:rsid w:val="003023A2"/>
    <w:rsid w:val="003026DC"/>
    <w:rsid w:val="0030278B"/>
    <w:rsid w:val="00302B49"/>
    <w:rsid w:val="00302E76"/>
    <w:rsid w:val="00302F63"/>
    <w:rsid w:val="0030390D"/>
    <w:rsid w:val="00303C3B"/>
    <w:rsid w:val="00303EAB"/>
    <w:rsid w:val="00304312"/>
    <w:rsid w:val="003044F5"/>
    <w:rsid w:val="003047CF"/>
    <w:rsid w:val="0030485A"/>
    <w:rsid w:val="00304E8D"/>
    <w:rsid w:val="00305870"/>
    <w:rsid w:val="00305980"/>
    <w:rsid w:val="00305B2A"/>
    <w:rsid w:val="00305BE7"/>
    <w:rsid w:val="00305BF1"/>
    <w:rsid w:val="00305FF2"/>
    <w:rsid w:val="0030648E"/>
    <w:rsid w:val="00306564"/>
    <w:rsid w:val="00306D1A"/>
    <w:rsid w:val="00307FCB"/>
    <w:rsid w:val="0031048A"/>
    <w:rsid w:val="00310981"/>
    <w:rsid w:val="00311045"/>
    <w:rsid w:val="00311734"/>
    <w:rsid w:val="00311863"/>
    <w:rsid w:val="00311D1F"/>
    <w:rsid w:val="0031253F"/>
    <w:rsid w:val="00312729"/>
    <w:rsid w:val="00312737"/>
    <w:rsid w:val="00312ACB"/>
    <w:rsid w:val="00313533"/>
    <w:rsid w:val="00313781"/>
    <w:rsid w:val="00313AB7"/>
    <w:rsid w:val="00313D44"/>
    <w:rsid w:val="00314443"/>
    <w:rsid w:val="00314685"/>
    <w:rsid w:val="00314AAD"/>
    <w:rsid w:val="00314B8E"/>
    <w:rsid w:val="0031517F"/>
    <w:rsid w:val="003153C2"/>
    <w:rsid w:val="00315421"/>
    <w:rsid w:val="003157D2"/>
    <w:rsid w:val="00315809"/>
    <w:rsid w:val="00315B73"/>
    <w:rsid w:val="00315C5B"/>
    <w:rsid w:val="00315FD5"/>
    <w:rsid w:val="00316935"/>
    <w:rsid w:val="00316E2D"/>
    <w:rsid w:val="003173F5"/>
    <w:rsid w:val="0031779C"/>
    <w:rsid w:val="00317B43"/>
    <w:rsid w:val="00317CE3"/>
    <w:rsid w:val="00320139"/>
    <w:rsid w:val="0032022C"/>
    <w:rsid w:val="003202E8"/>
    <w:rsid w:val="00320330"/>
    <w:rsid w:val="003207FE"/>
    <w:rsid w:val="00320E56"/>
    <w:rsid w:val="00321104"/>
    <w:rsid w:val="003216E3"/>
    <w:rsid w:val="00322348"/>
    <w:rsid w:val="00322361"/>
    <w:rsid w:val="0032248C"/>
    <w:rsid w:val="00322D46"/>
    <w:rsid w:val="00323100"/>
    <w:rsid w:val="0032357C"/>
    <w:rsid w:val="00324463"/>
    <w:rsid w:val="00324C79"/>
    <w:rsid w:val="003253B6"/>
    <w:rsid w:val="00325561"/>
    <w:rsid w:val="00325CA8"/>
    <w:rsid w:val="00325E55"/>
    <w:rsid w:val="00325F74"/>
    <w:rsid w:val="00326467"/>
    <w:rsid w:val="00326954"/>
    <w:rsid w:val="00326B33"/>
    <w:rsid w:val="00326C76"/>
    <w:rsid w:val="00326D6B"/>
    <w:rsid w:val="003271D6"/>
    <w:rsid w:val="00327250"/>
    <w:rsid w:val="0032751C"/>
    <w:rsid w:val="00327BA9"/>
    <w:rsid w:val="0033007E"/>
    <w:rsid w:val="00330393"/>
    <w:rsid w:val="00330B87"/>
    <w:rsid w:val="00330F71"/>
    <w:rsid w:val="00331129"/>
    <w:rsid w:val="0033115F"/>
    <w:rsid w:val="003321CE"/>
    <w:rsid w:val="00332247"/>
    <w:rsid w:val="00332410"/>
    <w:rsid w:val="003328A9"/>
    <w:rsid w:val="00332B55"/>
    <w:rsid w:val="00332B82"/>
    <w:rsid w:val="00332DB3"/>
    <w:rsid w:val="00333017"/>
    <w:rsid w:val="00333129"/>
    <w:rsid w:val="003336D5"/>
    <w:rsid w:val="00333A2E"/>
    <w:rsid w:val="00333BF4"/>
    <w:rsid w:val="00333ECF"/>
    <w:rsid w:val="00334568"/>
    <w:rsid w:val="00334576"/>
    <w:rsid w:val="00334937"/>
    <w:rsid w:val="00334E2E"/>
    <w:rsid w:val="00334ED1"/>
    <w:rsid w:val="0033502D"/>
    <w:rsid w:val="003350A3"/>
    <w:rsid w:val="00335719"/>
    <w:rsid w:val="00335936"/>
    <w:rsid w:val="00335C88"/>
    <w:rsid w:val="003364BF"/>
    <w:rsid w:val="00336632"/>
    <w:rsid w:val="00337C09"/>
    <w:rsid w:val="00340099"/>
    <w:rsid w:val="0034015F"/>
    <w:rsid w:val="00340434"/>
    <w:rsid w:val="00340674"/>
    <w:rsid w:val="0034074E"/>
    <w:rsid w:val="0034089E"/>
    <w:rsid w:val="00340BC1"/>
    <w:rsid w:val="00340EEE"/>
    <w:rsid w:val="00341164"/>
    <w:rsid w:val="003411CB"/>
    <w:rsid w:val="003417F8"/>
    <w:rsid w:val="00341939"/>
    <w:rsid w:val="00341C4E"/>
    <w:rsid w:val="00341EC3"/>
    <w:rsid w:val="00341FC5"/>
    <w:rsid w:val="003420BD"/>
    <w:rsid w:val="0034261A"/>
    <w:rsid w:val="003429D1"/>
    <w:rsid w:val="00342B64"/>
    <w:rsid w:val="00343653"/>
    <w:rsid w:val="00343827"/>
    <w:rsid w:val="00343864"/>
    <w:rsid w:val="0034389C"/>
    <w:rsid w:val="00343A19"/>
    <w:rsid w:val="003440D1"/>
    <w:rsid w:val="003443CC"/>
    <w:rsid w:val="003443E9"/>
    <w:rsid w:val="00344466"/>
    <w:rsid w:val="0034572C"/>
    <w:rsid w:val="003459AA"/>
    <w:rsid w:val="00345B18"/>
    <w:rsid w:val="00345CE0"/>
    <w:rsid w:val="00345D39"/>
    <w:rsid w:val="00345E11"/>
    <w:rsid w:val="003461FC"/>
    <w:rsid w:val="00346473"/>
    <w:rsid w:val="00346661"/>
    <w:rsid w:val="003467EC"/>
    <w:rsid w:val="00346F93"/>
    <w:rsid w:val="00347176"/>
    <w:rsid w:val="003474BA"/>
    <w:rsid w:val="0035002B"/>
    <w:rsid w:val="003506DF"/>
    <w:rsid w:val="00350B72"/>
    <w:rsid w:val="00351149"/>
    <w:rsid w:val="003517AA"/>
    <w:rsid w:val="00351C48"/>
    <w:rsid w:val="00351FE0"/>
    <w:rsid w:val="0035208E"/>
    <w:rsid w:val="0035283D"/>
    <w:rsid w:val="00352B4A"/>
    <w:rsid w:val="00352D48"/>
    <w:rsid w:val="00352DB5"/>
    <w:rsid w:val="00352EC0"/>
    <w:rsid w:val="00352FFB"/>
    <w:rsid w:val="00353216"/>
    <w:rsid w:val="0035345A"/>
    <w:rsid w:val="003537A9"/>
    <w:rsid w:val="00353B18"/>
    <w:rsid w:val="00353CF7"/>
    <w:rsid w:val="00354823"/>
    <w:rsid w:val="003556D4"/>
    <w:rsid w:val="003557EB"/>
    <w:rsid w:val="003558F3"/>
    <w:rsid w:val="00356209"/>
    <w:rsid w:val="0035662C"/>
    <w:rsid w:val="00356C6C"/>
    <w:rsid w:val="00356CF9"/>
    <w:rsid w:val="00356EA2"/>
    <w:rsid w:val="00357742"/>
    <w:rsid w:val="00357A0A"/>
    <w:rsid w:val="00357B81"/>
    <w:rsid w:val="00360157"/>
    <w:rsid w:val="00360364"/>
    <w:rsid w:val="00360526"/>
    <w:rsid w:val="0036160B"/>
    <w:rsid w:val="00361B3A"/>
    <w:rsid w:val="00361C53"/>
    <w:rsid w:val="00361C9A"/>
    <w:rsid w:val="00361EA9"/>
    <w:rsid w:val="0036221E"/>
    <w:rsid w:val="00362307"/>
    <w:rsid w:val="003627D6"/>
    <w:rsid w:val="00363465"/>
    <w:rsid w:val="00363645"/>
    <w:rsid w:val="0036370E"/>
    <w:rsid w:val="00363B74"/>
    <w:rsid w:val="00363C5B"/>
    <w:rsid w:val="0036419B"/>
    <w:rsid w:val="0036435A"/>
    <w:rsid w:val="00364566"/>
    <w:rsid w:val="00364773"/>
    <w:rsid w:val="00364BB2"/>
    <w:rsid w:val="003651AD"/>
    <w:rsid w:val="003657A3"/>
    <w:rsid w:val="00365944"/>
    <w:rsid w:val="00365AEE"/>
    <w:rsid w:val="00365C8A"/>
    <w:rsid w:val="00365CAC"/>
    <w:rsid w:val="0036673A"/>
    <w:rsid w:val="00366F51"/>
    <w:rsid w:val="00366FDB"/>
    <w:rsid w:val="00367A43"/>
    <w:rsid w:val="00367ECB"/>
    <w:rsid w:val="00367ED3"/>
    <w:rsid w:val="0037001B"/>
    <w:rsid w:val="00370161"/>
    <w:rsid w:val="00370838"/>
    <w:rsid w:val="00370AFF"/>
    <w:rsid w:val="00370D92"/>
    <w:rsid w:val="00370FAD"/>
    <w:rsid w:val="00371024"/>
    <w:rsid w:val="00371134"/>
    <w:rsid w:val="003711A9"/>
    <w:rsid w:val="00371662"/>
    <w:rsid w:val="0037170B"/>
    <w:rsid w:val="00371938"/>
    <w:rsid w:val="00372250"/>
    <w:rsid w:val="00372410"/>
    <w:rsid w:val="00372CF6"/>
    <w:rsid w:val="003732DB"/>
    <w:rsid w:val="0037357A"/>
    <w:rsid w:val="00373977"/>
    <w:rsid w:val="003739B9"/>
    <w:rsid w:val="00373B82"/>
    <w:rsid w:val="00373C1B"/>
    <w:rsid w:val="00374529"/>
    <w:rsid w:val="003750F0"/>
    <w:rsid w:val="003751CF"/>
    <w:rsid w:val="003753A0"/>
    <w:rsid w:val="003753C1"/>
    <w:rsid w:val="00375600"/>
    <w:rsid w:val="0037602E"/>
    <w:rsid w:val="00376765"/>
    <w:rsid w:val="003768CB"/>
    <w:rsid w:val="00376CF8"/>
    <w:rsid w:val="00377211"/>
    <w:rsid w:val="0037779D"/>
    <w:rsid w:val="00377804"/>
    <w:rsid w:val="00377903"/>
    <w:rsid w:val="00377948"/>
    <w:rsid w:val="00377C96"/>
    <w:rsid w:val="0038032D"/>
    <w:rsid w:val="00380710"/>
    <w:rsid w:val="003809D7"/>
    <w:rsid w:val="00380ADF"/>
    <w:rsid w:val="00380B86"/>
    <w:rsid w:val="00380E5F"/>
    <w:rsid w:val="0038131E"/>
    <w:rsid w:val="00381389"/>
    <w:rsid w:val="00381614"/>
    <w:rsid w:val="00381983"/>
    <w:rsid w:val="00381B19"/>
    <w:rsid w:val="00381DB3"/>
    <w:rsid w:val="00382233"/>
    <w:rsid w:val="003823EE"/>
    <w:rsid w:val="00382B94"/>
    <w:rsid w:val="00383182"/>
    <w:rsid w:val="003839AF"/>
    <w:rsid w:val="00383A37"/>
    <w:rsid w:val="00383C52"/>
    <w:rsid w:val="00384BAD"/>
    <w:rsid w:val="00384DCC"/>
    <w:rsid w:val="0038513A"/>
    <w:rsid w:val="003855AD"/>
    <w:rsid w:val="0038571F"/>
    <w:rsid w:val="003863FA"/>
    <w:rsid w:val="00386BD5"/>
    <w:rsid w:val="003873F6"/>
    <w:rsid w:val="003876A8"/>
    <w:rsid w:val="003878DD"/>
    <w:rsid w:val="00387E00"/>
    <w:rsid w:val="003907B6"/>
    <w:rsid w:val="0039083D"/>
    <w:rsid w:val="00390A6F"/>
    <w:rsid w:val="00390B95"/>
    <w:rsid w:val="00390DDB"/>
    <w:rsid w:val="0039127B"/>
    <w:rsid w:val="00391669"/>
    <w:rsid w:val="003916C8"/>
    <w:rsid w:val="003919B9"/>
    <w:rsid w:val="00391CD3"/>
    <w:rsid w:val="0039200A"/>
    <w:rsid w:val="00392093"/>
    <w:rsid w:val="0039210A"/>
    <w:rsid w:val="0039220C"/>
    <w:rsid w:val="0039278A"/>
    <w:rsid w:val="00393067"/>
    <w:rsid w:val="003934EA"/>
    <w:rsid w:val="00393594"/>
    <w:rsid w:val="003937E2"/>
    <w:rsid w:val="00393899"/>
    <w:rsid w:val="00393B2A"/>
    <w:rsid w:val="003941C9"/>
    <w:rsid w:val="003943F7"/>
    <w:rsid w:val="0039446A"/>
    <w:rsid w:val="00394528"/>
    <w:rsid w:val="00394A6C"/>
    <w:rsid w:val="003952A7"/>
    <w:rsid w:val="00395F23"/>
    <w:rsid w:val="00396067"/>
    <w:rsid w:val="0039746C"/>
    <w:rsid w:val="00397500"/>
    <w:rsid w:val="00397580"/>
    <w:rsid w:val="00397A6B"/>
    <w:rsid w:val="00397DF3"/>
    <w:rsid w:val="003A0CB3"/>
    <w:rsid w:val="003A1133"/>
    <w:rsid w:val="003A1614"/>
    <w:rsid w:val="003A1708"/>
    <w:rsid w:val="003A184C"/>
    <w:rsid w:val="003A1B8F"/>
    <w:rsid w:val="003A1DEA"/>
    <w:rsid w:val="003A2217"/>
    <w:rsid w:val="003A269A"/>
    <w:rsid w:val="003A28E2"/>
    <w:rsid w:val="003A2F34"/>
    <w:rsid w:val="003A3197"/>
    <w:rsid w:val="003A354D"/>
    <w:rsid w:val="003A39D2"/>
    <w:rsid w:val="003A3A92"/>
    <w:rsid w:val="003A3C07"/>
    <w:rsid w:val="003A427A"/>
    <w:rsid w:val="003A4737"/>
    <w:rsid w:val="003A492B"/>
    <w:rsid w:val="003A497E"/>
    <w:rsid w:val="003A4C17"/>
    <w:rsid w:val="003A4DD0"/>
    <w:rsid w:val="003A566D"/>
    <w:rsid w:val="003A57DE"/>
    <w:rsid w:val="003A586A"/>
    <w:rsid w:val="003A5CDE"/>
    <w:rsid w:val="003A603C"/>
    <w:rsid w:val="003A61D2"/>
    <w:rsid w:val="003A63A0"/>
    <w:rsid w:val="003A660B"/>
    <w:rsid w:val="003A6B3F"/>
    <w:rsid w:val="003A717E"/>
    <w:rsid w:val="003A7329"/>
    <w:rsid w:val="003A75B5"/>
    <w:rsid w:val="003A76E7"/>
    <w:rsid w:val="003A7A14"/>
    <w:rsid w:val="003A7BEB"/>
    <w:rsid w:val="003A7FF9"/>
    <w:rsid w:val="003B01FD"/>
    <w:rsid w:val="003B0225"/>
    <w:rsid w:val="003B0774"/>
    <w:rsid w:val="003B078D"/>
    <w:rsid w:val="003B09B9"/>
    <w:rsid w:val="003B0F72"/>
    <w:rsid w:val="003B108D"/>
    <w:rsid w:val="003B132C"/>
    <w:rsid w:val="003B1345"/>
    <w:rsid w:val="003B16BC"/>
    <w:rsid w:val="003B1B8A"/>
    <w:rsid w:val="003B1BFF"/>
    <w:rsid w:val="003B1E86"/>
    <w:rsid w:val="003B1EF7"/>
    <w:rsid w:val="003B2395"/>
    <w:rsid w:val="003B2672"/>
    <w:rsid w:val="003B29DE"/>
    <w:rsid w:val="003B2E72"/>
    <w:rsid w:val="003B32D6"/>
    <w:rsid w:val="003B3312"/>
    <w:rsid w:val="003B3684"/>
    <w:rsid w:val="003B3854"/>
    <w:rsid w:val="003B3A65"/>
    <w:rsid w:val="003B3F69"/>
    <w:rsid w:val="003B42E7"/>
    <w:rsid w:val="003B45C8"/>
    <w:rsid w:val="003B5022"/>
    <w:rsid w:val="003B51C4"/>
    <w:rsid w:val="003B5704"/>
    <w:rsid w:val="003B5AD9"/>
    <w:rsid w:val="003B5C29"/>
    <w:rsid w:val="003B661C"/>
    <w:rsid w:val="003B6792"/>
    <w:rsid w:val="003B6A2F"/>
    <w:rsid w:val="003B6AC5"/>
    <w:rsid w:val="003B6B5E"/>
    <w:rsid w:val="003B6DC2"/>
    <w:rsid w:val="003B6E19"/>
    <w:rsid w:val="003B6E3F"/>
    <w:rsid w:val="003B739B"/>
    <w:rsid w:val="003B7402"/>
    <w:rsid w:val="003B745B"/>
    <w:rsid w:val="003B7A24"/>
    <w:rsid w:val="003C0042"/>
    <w:rsid w:val="003C04F4"/>
    <w:rsid w:val="003C0719"/>
    <w:rsid w:val="003C071B"/>
    <w:rsid w:val="003C0DDE"/>
    <w:rsid w:val="003C0E32"/>
    <w:rsid w:val="003C11F5"/>
    <w:rsid w:val="003C1BA8"/>
    <w:rsid w:val="003C1CCA"/>
    <w:rsid w:val="003C1FDD"/>
    <w:rsid w:val="003C20D7"/>
    <w:rsid w:val="003C2647"/>
    <w:rsid w:val="003C28BC"/>
    <w:rsid w:val="003C28F6"/>
    <w:rsid w:val="003C2906"/>
    <w:rsid w:val="003C2E94"/>
    <w:rsid w:val="003C3288"/>
    <w:rsid w:val="003C3454"/>
    <w:rsid w:val="003C38A0"/>
    <w:rsid w:val="003C3965"/>
    <w:rsid w:val="003C3E09"/>
    <w:rsid w:val="003C472C"/>
    <w:rsid w:val="003C4FB5"/>
    <w:rsid w:val="003C5143"/>
    <w:rsid w:val="003C5AC5"/>
    <w:rsid w:val="003C61A4"/>
    <w:rsid w:val="003C64CE"/>
    <w:rsid w:val="003C6592"/>
    <w:rsid w:val="003C65C1"/>
    <w:rsid w:val="003C6E7E"/>
    <w:rsid w:val="003C7013"/>
    <w:rsid w:val="003C70BB"/>
    <w:rsid w:val="003C7114"/>
    <w:rsid w:val="003C74D6"/>
    <w:rsid w:val="003C77A7"/>
    <w:rsid w:val="003C7D41"/>
    <w:rsid w:val="003D015D"/>
    <w:rsid w:val="003D05A0"/>
    <w:rsid w:val="003D06A8"/>
    <w:rsid w:val="003D0D0F"/>
    <w:rsid w:val="003D1033"/>
    <w:rsid w:val="003D1137"/>
    <w:rsid w:val="003D1560"/>
    <w:rsid w:val="003D1767"/>
    <w:rsid w:val="003D1975"/>
    <w:rsid w:val="003D1E9E"/>
    <w:rsid w:val="003D1EE2"/>
    <w:rsid w:val="003D223A"/>
    <w:rsid w:val="003D2301"/>
    <w:rsid w:val="003D3239"/>
    <w:rsid w:val="003D32FC"/>
    <w:rsid w:val="003D34A6"/>
    <w:rsid w:val="003D395A"/>
    <w:rsid w:val="003D3EA6"/>
    <w:rsid w:val="003D412D"/>
    <w:rsid w:val="003D422B"/>
    <w:rsid w:val="003D46CD"/>
    <w:rsid w:val="003D477A"/>
    <w:rsid w:val="003D4D50"/>
    <w:rsid w:val="003D4E38"/>
    <w:rsid w:val="003D54B3"/>
    <w:rsid w:val="003D5605"/>
    <w:rsid w:val="003D5691"/>
    <w:rsid w:val="003D58B0"/>
    <w:rsid w:val="003D6450"/>
    <w:rsid w:val="003D6A9A"/>
    <w:rsid w:val="003D6C89"/>
    <w:rsid w:val="003D7409"/>
    <w:rsid w:val="003D7971"/>
    <w:rsid w:val="003D7AE6"/>
    <w:rsid w:val="003E018D"/>
    <w:rsid w:val="003E05E0"/>
    <w:rsid w:val="003E0748"/>
    <w:rsid w:val="003E07D8"/>
    <w:rsid w:val="003E080D"/>
    <w:rsid w:val="003E08A7"/>
    <w:rsid w:val="003E0DB4"/>
    <w:rsid w:val="003E169C"/>
    <w:rsid w:val="003E1786"/>
    <w:rsid w:val="003E1A89"/>
    <w:rsid w:val="003E1B93"/>
    <w:rsid w:val="003E1D4E"/>
    <w:rsid w:val="003E1DCD"/>
    <w:rsid w:val="003E2267"/>
    <w:rsid w:val="003E227F"/>
    <w:rsid w:val="003E2693"/>
    <w:rsid w:val="003E27A9"/>
    <w:rsid w:val="003E2825"/>
    <w:rsid w:val="003E2CA3"/>
    <w:rsid w:val="003E30AA"/>
    <w:rsid w:val="003E3988"/>
    <w:rsid w:val="003E3C78"/>
    <w:rsid w:val="003E3DC7"/>
    <w:rsid w:val="003E46C4"/>
    <w:rsid w:val="003E4810"/>
    <w:rsid w:val="003E4A6D"/>
    <w:rsid w:val="003E4C25"/>
    <w:rsid w:val="003E5991"/>
    <w:rsid w:val="003E5F2D"/>
    <w:rsid w:val="003E6021"/>
    <w:rsid w:val="003E635F"/>
    <w:rsid w:val="003E65A8"/>
    <w:rsid w:val="003E69E3"/>
    <w:rsid w:val="003E6AF5"/>
    <w:rsid w:val="003E6C24"/>
    <w:rsid w:val="003E6FB1"/>
    <w:rsid w:val="003E7219"/>
    <w:rsid w:val="003E7278"/>
    <w:rsid w:val="003E72E5"/>
    <w:rsid w:val="003E7662"/>
    <w:rsid w:val="003E7A27"/>
    <w:rsid w:val="003E7A71"/>
    <w:rsid w:val="003E7D27"/>
    <w:rsid w:val="003F0323"/>
    <w:rsid w:val="003F072A"/>
    <w:rsid w:val="003F080F"/>
    <w:rsid w:val="003F10E2"/>
    <w:rsid w:val="003F1117"/>
    <w:rsid w:val="003F1250"/>
    <w:rsid w:val="003F13DF"/>
    <w:rsid w:val="003F19F9"/>
    <w:rsid w:val="003F1DE1"/>
    <w:rsid w:val="003F1E7A"/>
    <w:rsid w:val="003F2409"/>
    <w:rsid w:val="003F2549"/>
    <w:rsid w:val="003F27F2"/>
    <w:rsid w:val="003F2C1D"/>
    <w:rsid w:val="003F2FD7"/>
    <w:rsid w:val="003F2FF4"/>
    <w:rsid w:val="003F3971"/>
    <w:rsid w:val="003F3AE0"/>
    <w:rsid w:val="003F3FA2"/>
    <w:rsid w:val="003F44AA"/>
    <w:rsid w:val="003F45D0"/>
    <w:rsid w:val="003F47E1"/>
    <w:rsid w:val="003F50A8"/>
    <w:rsid w:val="003F5169"/>
    <w:rsid w:val="003F51E6"/>
    <w:rsid w:val="003F5600"/>
    <w:rsid w:val="003F58C0"/>
    <w:rsid w:val="003F594E"/>
    <w:rsid w:val="003F59DD"/>
    <w:rsid w:val="003F6E02"/>
    <w:rsid w:val="003F72D9"/>
    <w:rsid w:val="003F7B62"/>
    <w:rsid w:val="003F7F9F"/>
    <w:rsid w:val="00400127"/>
    <w:rsid w:val="0040031D"/>
    <w:rsid w:val="004003F6"/>
    <w:rsid w:val="00400F86"/>
    <w:rsid w:val="004011DD"/>
    <w:rsid w:val="0040126E"/>
    <w:rsid w:val="0040189A"/>
    <w:rsid w:val="00401A99"/>
    <w:rsid w:val="00402136"/>
    <w:rsid w:val="00402231"/>
    <w:rsid w:val="00402D33"/>
    <w:rsid w:val="00402D93"/>
    <w:rsid w:val="00402DDD"/>
    <w:rsid w:val="00402F67"/>
    <w:rsid w:val="00403183"/>
    <w:rsid w:val="004035A2"/>
    <w:rsid w:val="004036D7"/>
    <w:rsid w:val="00404000"/>
    <w:rsid w:val="00404294"/>
    <w:rsid w:val="004045B1"/>
    <w:rsid w:val="00404D15"/>
    <w:rsid w:val="00405159"/>
    <w:rsid w:val="004053D1"/>
    <w:rsid w:val="00405735"/>
    <w:rsid w:val="00405899"/>
    <w:rsid w:val="00405DCF"/>
    <w:rsid w:val="00406320"/>
    <w:rsid w:val="00407A2B"/>
    <w:rsid w:val="00407B06"/>
    <w:rsid w:val="00407C1A"/>
    <w:rsid w:val="00407F41"/>
    <w:rsid w:val="0041026E"/>
    <w:rsid w:val="00410DAE"/>
    <w:rsid w:val="00411180"/>
    <w:rsid w:val="004114CA"/>
    <w:rsid w:val="00411624"/>
    <w:rsid w:val="00411A28"/>
    <w:rsid w:val="00411DA6"/>
    <w:rsid w:val="00411EDF"/>
    <w:rsid w:val="0041224C"/>
    <w:rsid w:val="004132D1"/>
    <w:rsid w:val="004134D1"/>
    <w:rsid w:val="004134E3"/>
    <w:rsid w:val="0041352E"/>
    <w:rsid w:val="00413A9A"/>
    <w:rsid w:val="00413BE3"/>
    <w:rsid w:val="00413CB7"/>
    <w:rsid w:val="00413CF6"/>
    <w:rsid w:val="00413F17"/>
    <w:rsid w:val="00413FA9"/>
    <w:rsid w:val="004142B0"/>
    <w:rsid w:val="00415732"/>
    <w:rsid w:val="00415E6E"/>
    <w:rsid w:val="004167E6"/>
    <w:rsid w:val="00416AEE"/>
    <w:rsid w:val="0041706D"/>
    <w:rsid w:val="00417081"/>
    <w:rsid w:val="00417B89"/>
    <w:rsid w:val="00417D51"/>
    <w:rsid w:val="00420025"/>
    <w:rsid w:val="004200E0"/>
    <w:rsid w:val="00420435"/>
    <w:rsid w:val="004206DF"/>
    <w:rsid w:val="004209BE"/>
    <w:rsid w:val="004209CB"/>
    <w:rsid w:val="004210AE"/>
    <w:rsid w:val="004213F1"/>
    <w:rsid w:val="004218B1"/>
    <w:rsid w:val="00421C32"/>
    <w:rsid w:val="004220DD"/>
    <w:rsid w:val="0042236F"/>
    <w:rsid w:val="00422735"/>
    <w:rsid w:val="004228DE"/>
    <w:rsid w:val="004229CC"/>
    <w:rsid w:val="00422D57"/>
    <w:rsid w:val="0042327C"/>
    <w:rsid w:val="004234DD"/>
    <w:rsid w:val="0042364B"/>
    <w:rsid w:val="00424D38"/>
    <w:rsid w:val="00424E41"/>
    <w:rsid w:val="00424EA3"/>
    <w:rsid w:val="004251C1"/>
    <w:rsid w:val="004254CD"/>
    <w:rsid w:val="0042589A"/>
    <w:rsid w:val="004259E2"/>
    <w:rsid w:val="00425F57"/>
    <w:rsid w:val="00425FBB"/>
    <w:rsid w:val="00426375"/>
    <w:rsid w:val="004263E7"/>
    <w:rsid w:val="00426900"/>
    <w:rsid w:val="0042697C"/>
    <w:rsid w:val="00426A74"/>
    <w:rsid w:val="00426AF7"/>
    <w:rsid w:val="00426B9D"/>
    <w:rsid w:val="00426CE4"/>
    <w:rsid w:val="00426E2B"/>
    <w:rsid w:val="00426E60"/>
    <w:rsid w:val="00426EDD"/>
    <w:rsid w:val="00426FBA"/>
    <w:rsid w:val="0042713B"/>
    <w:rsid w:val="004272B5"/>
    <w:rsid w:val="00427782"/>
    <w:rsid w:val="00430027"/>
    <w:rsid w:val="004305B4"/>
    <w:rsid w:val="00430690"/>
    <w:rsid w:val="00430C06"/>
    <w:rsid w:val="00430C6E"/>
    <w:rsid w:val="0043127C"/>
    <w:rsid w:val="00431411"/>
    <w:rsid w:val="00431760"/>
    <w:rsid w:val="00431B43"/>
    <w:rsid w:val="00431FDA"/>
    <w:rsid w:val="00432090"/>
    <w:rsid w:val="00432455"/>
    <w:rsid w:val="0043284B"/>
    <w:rsid w:val="004329A6"/>
    <w:rsid w:val="00432AF7"/>
    <w:rsid w:val="00432FAE"/>
    <w:rsid w:val="00433174"/>
    <w:rsid w:val="0043341A"/>
    <w:rsid w:val="0043342C"/>
    <w:rsid w:val="00433575"/>
    <w:rsid w:val="00433710"/>
    <w:rsid w:val="00433843"/>
    <w:rsid w:val="00434203"/>
    <w:rsid w:val="00434519"/>
    <w:rsid w:val="00434B1F"/>
    <w:rsid w:val="00434D4C"/>
    <w:rsid w:val="00435504"/>
    <w:rsid w:val="004356E8"/>
    <w:rsid w:val="00435E72"/>
    <w:rsid w:val="0043618C"/>
    <w:rsid w:val="004362AD"/>
    <w:rsid w:val="00436632"/>
    <w:rsid w:val="004369F5"/>
    <w:rsid w:val="00436BE9"/>
    <w:rsid w:val="00436C54"/>
    <w:rsid w:val="00436DEF"/>
    <w:rsid w:val="00436F32"/>
    <w:rsid w:val="00436FB7"/>
    <w:rsid w:val="004372D6"/>
    <w:rsid w:val="00437498"/>
    <w:rsid w:val="004379B7"/>
    <w:rsid w:val="00437C96"/>
    <w:rsid w:val="00437DCA"/>
    <w:rsid w:val="00437FFB"/>
    <w:rsid w:val="0044019E"/>
    <w:rsid w:val="004405A9"/>
    <w:rsid w:val="00440732"/>
    <w:rsid w:val="00440741"/>
    <w:rsid w:val="00440B3F"/>
    <w:rsid w:val="0044110F"/>
    <w:rsid w:val="00441429"/>
    <w:rsid w:val="00441A00"/>
    <w:rsid w:val="00441FCD"/>
    <w:rsid w:val="004420A5"/>
    <w:rsid w:val="0044260F"/>
    <w:rsid w:val="00442A3E"/>
    <w:rsid w:val="00442F48"/>
    <w:rsid w:val="00442FF6"/>
    <w:rsid w:val="0044345B"/>
    <w:rsid w:val="0044383B"/>
    <w:rsid w:val="00443863"/>
    <w:rsid w:val="00443FD8"/>
    <w:rsid w:val="0044404F"/>
    <w:rsid w:val="00444337"/>
    <w:rsid w:val="00444BA4"/>
    <w:rsid w:val="00444F0E"/>
    <w:rsid w:val="0044529E"/>
    <w:rsid w:val="0044555B"/>
    <w:rsid w:val="004455B8"/>
    <w:rsid w:val="004456ED"/>
    <w:rsid w:val="00445754"/>
    <w:rsid w:val="0044575A"/>
    <w:rsid w:val="004458BA"/>
    <w:rsid w:val="004459AC"/>
    <w:rsid w:val="00445EAF"/>
    <w:rsid w:val="00445FBD"/>
    <w:rsid w:val="0044677A"/>
    <w:rsid w:val="00446C13"/>
    <w:rsid w:val="00446DD4"/>
    <w:rsid w:val="004471D9"/>
    <w:rsid w:val="0044725E"/>
    <w:rsid w:val="0044757F"/>
    <w:rsid w:val="004477EB"/>
    <w:rsid w:val="00447B12"/>
    <w:rsid w:val="00447B4D"/>
    <w:rsid w:val="004500D0"/>
    <w:rsid w:val="004500E9"/>
    <w:rsid w:val="0045037D"/>
    <w:rsid w:val="0045097D"/>
    <w:rsid w:val="00450B84"/>
    <w:rsid w:val="0045102A"/>
    <w:rsid w:val="00451333"/>
    <w:rsid w:val="00451399"/>
    <w:rsid w:val="00451F1E"/>
    <w:rsid w:val="00451F54"/>
    <w:rsid w:val="00452452"/>
    <w:rsid w:val="0045286B"/>
    <w:rsid w:val="00452A93"/>
    <w:rsid w:val="00452CC5"/>
    <w:rsid w:val="00453895"/>
    <w:rsid w:val="00453D8D"/>
    <w:rsid w:val="00454002"/>
    <w:rsid w:val="004543B5"/>
    <w:rsid w:val="004544AB"/>
    <w:rsid w:val="0045496B"/>
    <w:rsid w:val="004549D6"/>
    <w:rsid w:val="00454C11"/>
    <w:rsid w:val="00454DEC"/>
    <w:rsid w:val="00454EAC"/>
    <w:rsid w:val="0045539C"/>
    <w:rsid w:val="004555CB"/>
    <w:rsid w:val="00455733"/>
    <w:rsid w:val="00456312"/>
    <w:rsid w:val="0045662E"/>
    <w:rsid w:val="0045663E"/>
    <w:rsid w:val="00456BA5"/>
    <w:rsid w:val="00456CF7"/>
    <w:rsid w:val="00457463"/>
    <w:rsid w:val="00457FB8"/>
    <w:rsid w:val="004603F4"/>
    <w:rsid w:val="0046075A"/>
    <w:rsid w:val="00460805"/>
    <w:rsid w:val="00460DB3"/>
    <w:rsid w:val="00460DFA"/>
    <w:rsid w:val="00460F24"/>
    <w:rsid w:val="00461947"/>
    <w:rsid w:val="00461A3A"/>
    <w:rsid w:val="004621D7"/>
    <w:rsid w:val="00462271"/>
    <w:rsid w:val="0046245E"/>
    <w:rsid w:val="004626EE"/>
    <w:rsid w:val="004627FD"/>
    <w:rsid w:val="0046280D"/>
    <w:rsid w:val="0046290E"/>
    <w:rsid w:val="004630C8"/>
    <w:rsid w:val="0046361D"/>
    <w:rsid w:val="0046387B"/>
    <w:rsid w:val="00463DC7"/>
    <w:rsid w:val="00464B18"/>
    <w:rsid w:val="00464BA6"/>
    <w:rsid w:val="00464D0E"/>
    <w:rsid w:val="00464E6E"/>
    <w:rsid w:val="0046517F"/>
    <w:rsid w:val="00465326"/>
    <w:rsid w:val="004655F5"/>
    <w:rsid w:val="00465778"/>
    <w:rsid w:val="00465C23"/>
    <w:rsid w:val="004660C3"/>
    <w:rsid w:val="0046672C"/>
    <w:rsid w:val="00466CB9"/>
    <w:rsid w:val="0046702D"/>
    <w:rsid w:val="00467B0A"/>
    <w:rsid w:val="00467DBF"/>
    <w:rsid w:val="00467ECF"/>
    <w:rsid w:val="00470171"/>
    <w:rsid w:val="0047062B"/>
    <w:rsid w:val="004706A2"/>
    <w:rsid w:val="004706D7"/>
    <w:rsid w:val="00470733"/>
    <w:rsid w:val="00470DCD"/>
    <w:rsid w:val="00471F20"/>
    <w:rsid w:val="0047201C"/>
    <w:rsid w:val="004725B9"/>
    <w:rsid w:val="0047278F"/>
    <w:rsid w:val="00472FA5"/>
    <w:rsid w:val="0047305F"/>
    <w:rsid w:val="004736E2"/>
    <w:rsid w:val="0047379B"/>
    <w:rsid w:val="00473EF2"/>
    <w:rsid w:val="00474226"/>
    <w:rsid w:val="0047501D"/>
    <w:rsid w:val="00475151"/>
    <w:rsid w:val="004753DA"/>
    <w:rsid w:val="00475CBD"/>
    <w:rsid w:val="004764A0"/>
    <w:rsid w:val="00476551"/>
    <w:rsid w:val="0047669D"/>
    <w:rsid w:val="00476AB9"/>
    <w:rsid w:val="00476E7A"/>
    <w:rsid w:val="00476F0F"/>
    <w:rsid w:val="00477074"/>
    <w:rsid w:val="00477431"/>
    <w:rsid w:val="00477AF0"/>
    <w:rsid w:val="00477DBB"/>
    <w:rsid w:val="00480017"/>
    <w:rsid w:val="00480487"/>
    <w:rsid w:val="0048086A"/>
    <w:rsid w:val="00480A00"/>
    <w:rsid w:val="00480BEE"/>
    <w:rsid w:val="0048114D"/>
    <w:rsid w:val="00481410"/>
    <w:rsid w:val="00481452"/>
    <w:rsid w:val="00481A4F"/>
    <w:rsid w:val="004825E9"/>
    <w:rsid w:val="00482F96"/>
    <w:rsid w:val="00483FB4"/>
    <w:rsid w:val="0048413A"/>
    <w:rsid w:val="0048468A"/>
    <w:rsid w:val="004848EF"/>
    <w:rsid w:val="00484D5F"/>
    <w:rsid w:val="00484E5D"/>
    <w:rsid w:val="00484FB2"/>
    <w:rsid w:val="0048563A"/>
    <w:rsid w:val="004859C2"/>
    <w:rsid w:val="00485D2D"/>
    <w:rsid w:val="00486050"/>
    <w:rsid w:val="004860E1"/>
    <w:rsid w:val="00486C0A"/>
    <w:rsid w:val="00486E97"/>
    <w:rsid w:val="004871E4"/>
    <w:rsid w:val="00487583"/>
    <w:rsid w:val="004875B0"/>
    <w:rsid w:val="00487781"/>
    <w:rsid w:val="0048798A"/>
    <w:rsid w:val="004879FA"/>
    <w:rsid w:val="00487AD6"/>
    <w:rsid w:val="00490086"/>
    <w:rsid w:val="004901BC"/>
    <w:rsid w:val="00490393"/>
    <w:rsid w:val="004907CE"/>
    <w:rsid w:val="004908D7"/>
    <w:rsid w:val="0049123D"/>
    <w:rsid w:val="00491635"/>
    <w:rsid w:val="00491B07"/>
    <w:rsid w:val="00491E23"/>
    <w:rsid w:val="004924D2"/>
    <w:rsid w:val="00492796"/>
    <w:rsid w:val="00492F7A"/>
    <w:rsid w:val="004934E3"/>
    <w:rsid w:val="00493EF2"/>
    <w:rsid w:val="0049412B"/>
    <w:rsid w:val="0049432E"/>
    <w:rsid w:val="00494393"/>
    <w:rsid w:val="004947A0"/>
    <w:rsid w:val="00494BF3"/>
    <w:rsid w:val="00495368"/>
    <w:rsid w:val="00495E89"/>
    <w:rsid w:val="004962B6"/>
    <w:rsid w:val="00496649"/>
    <w:rsid w:val="00496A20"/>
    <w:rsid w:val="00496B56"/>
    <w:rsid w:val="00496DFD"/>
    <w:rsid w:val="00496E3F"/>
    <w:rsid w:val="00496F64"/>
    <w:rsid w:val="0049761A"/>
    <w:rsid w:val="00497AE7"/>
    <w:rsid w:val="00497DEF"/>
    <w:rsid w:val="004A004E"/>
    <w:rsid w:val="004A017D"/>
    <w:rsid w:val="004A04A0"/>
    <w:rsid w:val="004A05ED"/>
    <w:rsid w:val="004A07E7"/>
    <w:rsid w:val="004A0DF8"/>
    <w:rsid w:val="004A1524"/>
    <w:rsid w:val="004A1604"/>
    <w:rsid w:val="004A1825"/>
    <w:rsid w:val="004A18C5"/>
    <w:rsid w:val="004A1F51"/>
    <w:rsid w:val="004A1F78"/>
    <w:rsid w:val="004A21AC"/>
    <w:rsid w:val="004A227C"/>
    <w:rsid w:val="004A28BD"/>
    <w:rsid w:val="004A2D43"/>
    <w:rsid w:val="004A2F10"/>
    <w:rsid w:val="004A35B7"/>
    <w:rsid w:val="004A3619"/>
    <w:rsid w:val="004A3D75"/>
    <w:rsid w:val="004A3F69"/>
    <w:rsid w:val="004A4041"/>
    <w:rsid w:val="004A48ED"/>
    <w:rsid w:val="004A4955"/>
    <w:rsid w:val="004A4997"/>
    <w:rsid w:val="004A4CC3"/>
    <w:rsid w:val="004A4EC4"/>
    <w:rsid w:val="004A5236"/>
    <w:rsid w:val="004A5279"/>
    <w:rsid w:val="004A5348"/>
    <w:rsid w:val="004A571B"/>
    <w:rsid w:val="004A587A"/>
    <w:rsid w:val="004A5CC7"/>
    <w:rsid w:val="004A5CDC"/>
    <w:rsid w:val="004A61C5"/>
    <w:rsid w:val="004A6C3D"/>
    <w:rsid w:val="004A6F96"/>
    <w:rsid w:val="004A7198"/>
    <w:rsid w:val="004A7470"/>
    <w:rsid w:val="004A799A"/>
    <w:rsid w:val="004A7D51"/>
    <w:rsid w:val="004B0181"/>
    <w:rsid w:val="004B0370"/>
    <w:rsid w:val="004B04BB"/>
    <w:rsid w:val="004B06EF"/>
    <w:rsid w:val="004B0756"/>
    <w:rsid w:val="004B07B3"/>
    <w:rsid w:val="004B0F23"/>
    <w:rsid w:val="004B0FBF"/>
    <w:rsid w:val="004B1412"/>
    <w:rsid w:val="004B1B7C"/>
    <w:rsid w:val="004B1BF2"/>
    <w:rsid w:val="004B2397"/>
    <w:rsid w:val="004B25B2"/>
    <w:rsid w:val="004B28FE"/>
    <w:rsid w:val="004B2DB7"/>
    <w:rsid w:val="004B2EA8"/>
    <w:rsid w:val="004B33C8"/>
    <w:rsid w:val="004B3FB9"/>
    <w:rsid w:val="004B4410"/>
    <w:rsid w:val="004B4F7A"/>
    <w:rsid w:val="004B51C3"/>
    <w:rsid w:val="004B5591"/>
    <w:rsid w:val="004B5B84"/>
    <w:rsid w:val="004B5C27"/>
    <w:rsid w:val="004B5DB8"/>
    <w:rsid w:val="004B6023"/>
    <w:rsid w:val="004B616D"/>
    <w:rsid w:val="004B63AB"/>
    <w:rsid w:val="004B6700"/>
    <w:rsid w:val="004B6716"/>
    <w:rsid w:val="004B6776"/>
    <w:rsid w:val="004B699B"/>
    <w:rsid w:val="004B6D4A"/>
    <w:rsid w:val="004B6DFF"/>
    <w:rsid w:val="004B71EB"/>
    <w:rsid w:val="004B7812"/>
    <w:rsid w:val="004B7944"/>
    <w:rsid w:val="004B7A12"/>
    <w:rsid w:val="004B7AAB"/>
    <w:rsid w:val="004B7D21"/>
    <w:rsid w:val="004B7D8B"/>
    <w:rsid w:val="004B7DDB"/>
    <w:rsid w:val="004B7E2D"/>
    <w:rsid w:val="004C001E"/>
    <w:rsid w:val="004C0493"/>
    <w:rsid w:val="004C083C"/>
    <w:rsid w:val="004C1EC7"/>
    <w:rsid w:val="004C1F62"/>
    <w:rsid w:val="004C202D"/>
    <w:rsid w:val="004C20AD"/>
    <w:rsid w:val="004C233E"/>
    <w:rsid w:val="004C24FA"/>
    <w:rsid w:val="004C266A"/>
    <w:rsid w:val="004C2FE3"/>
    <w:rsid w:val="004C331E"/>
    <w:rsid w:val="004C3787"/>
    <w:rsid w:val="004C39D1"/>
    <w:rsid w:val="004C3ADC"/>
    <w:rsid w:val="004C4023"/>
    <w:rsid w:val="004C4AEF"/>
    <w:rsid w:val="004C5158"/>
    <w:rsid w:val="004C5375"/>
    <w:rsid w:val="004C5503"/>
    <w:rsid w:val="004C5513"/>
    <w:rsid w:val="004C56A8"/>
    <w:rsid w:val="004C581C"/>
    <w:rsid w:val="004C5B05"/>
    <w:rsid w:val="004C628E"/>
    <w:rsid w:val="004C6B42"/>
    <w:rsid w:val="004C6C4B"/>
    <w:rsid w:val="004C75E7"/>
    <w:rsid w:val="004C7602"/>
    <w:rsid w:val="004C7643"/>
    <w:rsid w:val="004D0207"/>
    <w:rsid w:val="004D041A"/>
    <w:rsid w:val="004D04F0"/>
    <w:rsid w:val="004D0D23"/>
    <w:rsid w:val="004D0FEE"/>
    <w:rsid w:val="004D111B"/>
    <w:rsid w:val="004D1470"/>
    <w:rsid w:val="004D1501"/>
    <w:rsid w:val="004D1778"/>
    <w:rsid w:val="004D179D"/>
    <w:rsid w:val="004D2085"/>
    <w:rsid w:val="004D21A4"/>
    <w:rsid w:val="004D21AC"/>
    <w:rsid w:val="004D240A"/>
    <w:rsid w:val="004D2804"/>
    <w:rsid w:val="004D280A"/>
    <w:rsid w:val="004D2CD0"/>
    <w:rsid w:val="004D321D"/>
    <w:rsid w:val="004D3CDA"/>
    <w:rsid w:val="004D428B"/>
    <w:rsid w:val="004D4338"/>
    <w:rsid w:val="004D43D2"/>
    <w:rsid w:val="004D44D6"/>
    <w:rsid w:val="004D52C7"/>
    <w:rsid w:val="004D589C"/>
    <w:rsid w:val="004D5A34"/>
    <w:rsid w:val="004D5DE3"/>
    <w:rsid w:val="004D5E84"/>
    <w:rsid w:val="004D61C1"/>
    <w:rsid w:val="004D64DF"/>
    <w:rsid w:val="004D752E"/>
    <w:rsid w:val="004E006D"/>
    <w:rsid w:val="004E0378"/>
    <w:rsid w:val="004E0587"/>
    <w:rsid w:val="004E0A63"/>
    <w:rsid w:val="004E0AF0"/>
    <w:rsid w:val="004E0B22"/>
    <w:rsid w:val="004E1A9B"/>
    <w:rsid w:val="004E265D"/>
    <w:rsid w:val="004E35B5"/>
    <w:rsid w:val="004E3B21"/>
    <w:rsid w:val="004E426A"/>
    <w:rsid w:val="004E4445"/>
    <w:rsid w:val="004E44F4"/>
    <w:rsid w:val="004E494F"/>
    <w:rsid w:val="004E4BD3"/>
    <w:rsid w:val="004E4D34"/>
    <w:rsid w:val="004E56A3"/>
    <w:rsid w:val="004E5997"/>
    <w:rsid w:val="004E5C89"/>
    <w:rsid w:val="004E60EF"/>
    <w:rsid w:val="004E6369"/>
    <w:rsid w:val="004E6877"/>
    <w:rsid w:val="004E6A2C"/>
    <w:rsid w:val="004E6AEF"/>
    <w:rsid w:val="004E6B4B"/>
    <w:rsid w:val="004E7018"/>
    <w:rsid w:val="004E7491"/>
    <w:rsid w:val="004E7560"/>
    <w:rsid w:val="004E76FA"/>
    <w:rsid w:val="004F05FF"/>
    <w:rsid w:val="004F09E4"/>
    <w:rsid w:val="004F15FA"/>
    <w:rsid w:val="004F17A0"/>
    <w:rsid w:val="004F181F"/>
    <w:rsid w:val="004F1D11"/>
    <w:rsid w:val="004F23C7"/>
    <w:rsid w:val="004F2541"/>
    <w:rsid w:val="004F2DAC"/>
    <w:rsid w:val="004F3326"/>
    <w:rsid w:val="004F35B3"/>
    <w:rsid w:val="004F3759"/>
    <w:rsid w:val="004F3D46"/>
    <w:rsid w:val="004F4046"/>
    <w:rsid w:val="004F409D"/>
    <w:rsid w:val="004F42C7"/>
    <w:rsid w:val="004F4A76"/>
    <w:rsid w:val="004F4B00"/>
    <w:rsid w:val="004F4D3C"/>
    <w:rsid w:val="004F50A1"/>
    <w:rsid w:val="004F604F"/>
    <w:rsid w:val="004F6144"/>
    <w:rsid w:val="004F6540"/>
    <w:rsid w:val="004F675D"/>
    <w:rsid w:val="004F6B89"/>
    <w:rsid w:val="004F70C2"/>
    <w:rsid w:val="004F70CB"/>
    <w:rsid w:val="004F744D"/>
    <w:rsid w:val="004F7676"/>
    <w:rsid w:val="004F7C5F"/>
    <w:rsid w:val="004F7C99"/>
    <w:rsid w:val="004F7D79"/>
    <w:rsid w:val="0050032E"/>
    <w:rsid w:val="0050077F"/>
    <w:rsid w:val="00500C4E"/>
    <w:rsid w:val="005013C5"/>
    <w:rsid w:val="00501832"/>
    <w:rsid w:val="0050271A"/>
    <w:rsid w:val="00502865"/>
    <w:rsid w:val="00502989"/>
    <w:rsid w:val="00503017"/>
    <w:rsid w:val="005030AC"/>
    <w:rsid w:val="005032C2"/>
    <w:rsid w:val="00503B71"/>
    <w:rsid w:val="00503D1E"/>
    <w:rsid w:val="00504285"/>
    <w:rsid w:val="005043AF"/>
    <w:rsid w:val="00504B5E"/>
    <w:rsid w:val="00504BB9"/>
    <w:rsid w:val="00504D4A"/>
    <w:rsid w:val="00505803"/>
    <w:rsid w:val="00505CB5"/>
    <w:rsid w:val="0050601F"/>
    <w:rsid w:val="0050610F"/>
    <w:rsid w:val="00506E4F"/>
    <w:rsid w:val="005079D1"/>
    <w:rsid w:val="00507A9C"/>
    <w:rsid w:val="005101D2"/>
    <w:rsid w:val="005103C6"/>
    <w:rsid w:val="00510424"/>
    <w:rsid w:val="00510475"/>
    <w:rsid w:val="005106BF"/>
    <w:rsid w:val="00510B4C"/>
    <w:rsid w:val="00510EE8"/>
    <w:rsid w:val="005118F9"/>
    <w:rsid w:val="00511B91"/>
    <w:rsid w:val="00511CB8"/>
    <w:rsid w:val="00511CCC"/>
    <w:rsid w:val="00511DD8"/>
    <w:rsid w:val="00511E04"/>
    <w:rsid w:val="005123EB"/>
    <w:rsid w:val="00512F14"/>
    <w:rsid w:val="00513249"/>
    <w:rsid w:val="00513251"/>
    <w:rsid w:val="00513527"/>
    <w:rsid w:val="00513CAF"/>
    <w:rsid w:val="00513ED7"/>
    <w:rsid w:val="00514116"/>
    <w:rsid w:val="00514349"/>
    <w:rsid w:val="005153C5"/>
    <w:rsid w:val="005155C0"/>
    <w:rsid w:val="00515855"/>
    <w:rsid w:val="00515980"/>
    <w:rsid w:val="005159AE"/>
    <w:rsid w:val="00515C5F"/>
    <w:rsid w:val="00515D26"/>
    <w:rsid w:val="00515ECC"/>
    <w:rsid w:val="0051625E"/>
    <w:rsid w:val="005162E4"/>
    <w:rsid w:val="005165C6"/>
    <w:rsid w:val="0051666F"/>
    <w:rsid w:val="00516683"/>
    <w:rsid w:val="00516904"/>
    <w:rsid w:val="00516CE3"/>
    <w:rsid w:val="00516E90"/>
    <w:rsid w:val="0051714D"/>
    <w:rsid w:val="00517658"/>
    <w:rsid w:val="005176B9"/>
    <w:rsid w:val="0051778E"/>
    <w:rsid w:val="00517CAD"/>
    <w:rsid w:val="00517CE4"/>
    <w:rsid w:val="00517FE2"/>
    <w:rsid w:val="0052002A"/>
    <w:rsid w:val="00520A3C"/>
    <w:rsid w:val="00520B68"/>
    <w:rsid w:val="005213A4"/>
    <w:rsid w:val="00521683"/>
    <w:rsid w:val="00521759"/>
    <w:rsid w:val="00521844"/>
    <w:rsid w:val="00521862"/>
    <w:rsid w:val="00521B42"/>
    <w:rsid w:val="00521B82"/>
    <w:rsid w:val="00521BD0"/>
    <w:rsid w:val="00521CB4"/>
    <w:rsid w:val="00521F1D"/>
    <w:rsid w:val="005222A1"/>
    <w:rsid w:val="005222A5"/>
    <w:rsid w:val="005223EE"/>
    <w:rsid w:val="005224A0"/>
    <w:rsid w:val="00522ABB"/>
    <w:rsid w:val="00523142"/>
    <w:rsid w:val="00523237"/>
    <w:rsid w:val="005237AA"/>
    <w:rsid w:val="005239C0"/>
    <w:rsid w:val="00523BEF"/>
    <w:rsid w:val="00524459"/>
    <w:rsid w:val="005247A9"/>
    <w:rsid w:val="005251B0"/>
    <w:rsid w:val="00525338"/>
    <w:rsid w:val="0052549E"/>
    <w:rsid w:val="0052551C"/>
    <w:rsid w:val="005259A9"/>
    <w:rsid w:val="00525A70"/>
    <w:rsid w:val="0052620F"/>
    <w:rsid w:val="00526B1B"/>
    <w:rsid w:val="00526CD7"/>
    <w:rsid w:val="0052714B"/>
    <w:rsid w:val="00527B7D"/>
    <w:rsid w:val="00527BAC"/>
    <w:rsid w:val="00530320"/>
    <w:rsid w:val="005308DA"/>
    <w:rsid w:val="00530B16"/>
    <w:rsid w:val="00530C31"/>
    <w:rsid w:val="00530FBC"/>
    <w:rsid w:val="00531E6F"/>
    <w:rsid w:val="00531E75"/>
    <w:rsid w:val="005322C1"/>
    <w:rsid w:val="00532586"/>
    <w:rsid w:val="0053284B"/>
    <w:rsid w:val="00532F12"/>
    <w:rsid w:val="005331FA"/>
    <w:rsid w:val="00533320"/>
    <w:rsid w:val="0053354D"/>
    <w:rsid w:val="00533737"/>
    <w:rsid w:val="00534083"/>
    <w:rsid w:val="00534B19"/>
    <w:rsid w:val="00534F2F"/>
    <w:rsid w:val="00535622"/>
    <w:rsid w:val="00535763"/>
    <w:rsid w:val="00536957"/>
    <w:rsid w:val="00536996"/>
    <w:rsid w:val="00536D12"/>
    <w:rsid w:val="005371E9"/>
    <w:rsid w:val="005373E7"/>
    <w:rsid w:val="0053781B"/>
    <w:rsid w:val="00540067"/>
    <w:rsid w:val="005408F6"/>
    <w:rsid w:val="00540C43"/>
    <w:rsid w:val="00540CAF"/>
    <w:rsid w:val="0054191E"/>
    <w:rsid w:val="00541933"/>
    <w:rsid w:val="00542355"/>
    <w:rsid w:val="00542BAF"/>
    <w:rsid w:val="00542DAD"/>
    <w:rsid w:val="005431FA"/>
    <w:rsid w:val="005437A5"/>
    <w:rsid w:val="00543D19"/>
    <w:rsid w:val="005441CA"/>
    <w:rsid w:val="00544D39"/>
    <w:rsid w:val="0054504A"/>
    <w:rsid w:val="00545210"/>
    <w:rsid w:val="005454F4"/>
    <w:rsid w:val="0054584A"/>
    <w:rsid w:val="00545AA3"/>
    <w:rsid w:val="00545C02"/>
    <w:rsid w:val="00545F8F"/>
    <w:rsid w:val="00545FE2"/>
    <w:rsid w:val="005461CB"/>
    <w:rsid w:val="0054628E"/>
    <w:rsid w:val="00546576"/>
    <w:rsid w:val="0054697F"/>
    <w:rsid w:val="005469B9"/>
    <w:rsid w:val="005469E3"/>
    <w:rsid w:val="00547061"/>
    <w:rsid w:val="00547AA7"/>
    <w:rsid w:val="00547C64"/>
    <w:rsid w:val="00547E11"/>
    <w:rsid w:val="00550B43"/>
    <w:rsid w:val="00550C45"/>
    <w:rsid w:val="00550D72"/>
    <w:rsid w:val="00550F1F"/>
    <w:rsid w:val="0055139B"/>
    <w:rsid w:val="00551442"/>
    <w:rsid w:val="00551498"/>
    <w:rsid w:val="005515D9"/>
    <w:rsid w:val="00551A63"/>
    <w:rsid w:val="00551E6F"/>
    <w:rsid w:val="005522DF"/>
    <w:rsid w:val="0055290F"/>
    <w:rsid w:val="00552C9A"/>
    <w:rsid w:val="00552DED"/>
    <w:rsid w:val="0055307A"/>
    <w:rsid w:val="005532BE"/>
    <w:rsid w:val="005535DE"/>
    <w:rsid w:val="00554122"/>
    <w:rsid w:val="0055440C"/>
    <w:rsid w:val="005544B8"/>
    <w:rsid w:val="00555532"/>
    <w:rsid w:val="00555629"/>
    <w:rsid w:val="00555804"/>
    <w:rsid w:val="00555886"/>
    <w:rsid w:val="00555A0C"/>
    <w:rsid w:val="00555BA0"/>
    <w:rsid w:val="00555C14"/>
    <w:rsid w:val="00555DC6"/>
    <w:rsid w:val="00556607"/>
    <w:rsid w:val="0055682D"/>
    <w:rsid w:val="005568AE"/>
    <w:rsid w:val="005569A7"/>
    <w:rsid w:val="00556B9B"/>
    <w:rsid w:val="00556D2D"/>
    <w:rsid w:val="00556E61"/>
    <w:rsid w:val="00557299"/>
    <w:rsid w:val="005574C8"/>
    <w:rsid w:val="005575C7"/>
    <w:rsid w:val="00557619"/>
    <w:rsid w:val="005577FC"/>
    <w:rsid w:val="00557966"/>
    <w:rsid w:val="00557A13"/>
    <w:rsid w:val="00557B26"/>
    <w:rsid w:val="0056025E"/>
    <w:rsid w:val="00560B94"/>
    <w:rsid w:val="00560B9E"/>
    <w:rsid w:val="00560BE5"/>
    <w:rsid w:val="00560C2F"/>
    <w:rsid w:val="00560ED6"/>
    <w:rsid w:val="00560EDB"/>
    <w:rsid w:val="00560F07"/>
    <w:rsid w:val="00561688"/>
    <w:rsid w:val="00561A44"/>
    <w:rsid w:val="00561CF1"/>
    <w:rsid w:val="00561FC4"/>
    <w:rsid w:val="00562351"/>
    <w:rsid w:val="00562C71"/>
    <w:rsid w:val="00562DC0"/>
    <w:rsid w:val="00562E37"/>
    <w:rsid w:val="00562F09"/>
    <w:rsid w:val="005638DA"/>
    <w:rsid w:val="00563EBC"/>
    <w:rsid w:val="0056436D"/>
    <w:rsid w:val="00564D0B"/>
    <w:rsid w:val="00565933"/>
    <w:rsid w:val="00565B7C"/>
    <w:rsid w:val="00565C17"/>
    <w:rsid w:val="00565CBC"/>
    <w:rsid w:val="00566815"/>
    <w:rsid w:val="00566E80"/>
    <w:rsid w:val="00566ED1"/>
    <w:rsid w:val="00567199"/>
    <w:rsid w:val="005671EE"/>
    <w:rsid w:val="005675A4"/>
    <w:rsid w:val="005676E1"/>
    <w:rsid w:val="005677AC"/>
    <w:rsid w:val="00567912"/>
    <w:rsid w:val="00567E55"/>
    <w:rsid w:val="0057012C"/>
    <w:rsid w:val="00570476"/>
    <w:rsid w:val="005704BF"/>
    <w:rsid w:val="005705D6"/>
    <w:rsid w:val="005705E4"/>
    <w:rsid w:val="00570658"/>
    <w:rsid w:val="00570D86"/>
    <w:rsid w:val="00570F3E"/>
    <w:rsid w:val="00571534"/>
    <w:rsid w:val="005716CA"/>
    <w:rsid w:val="00571BAF"/>
    <w:rsid w:val="00571D7E"/>
    <w:rsid w:val="00571DB7"/>
    <w:rsid w:val="00571FC9"/>
    <w:rsid w:val="00572125"/>
    <w:rsid w:val="0057261E"/>
    <w:rsid w:val="00572FCB"/>
    <w:rsid w:val="00573367"/>
    <w:rsid w:val="005733B1"/>
    <w:rsid w:val="00573EC7"/>
    <w:rsid w:val="0057484B"/>
    <w:rsid w:val="00574932"/>
    <w:rsid w:val="00574B7A"/>
    <w:rsid w:val="00574BBC"/>
    <w:rsid w:val="00574C20"/>
    <w:rsid w:val="00574C5C"/>
    <w:rsid w:val="00574F5C"/>
    <w:rsid w:val="005752FD"/>
    <w:rsid w:val="00575B1E"/>
    <w:rsid w:val="00575C2A"/>
    <w:rsid w:val="00576031"/>
    <w:rsid w:val="005765C2"/>
    <w:rsid w:val="00576988"/>
    <w:rsid w:val="00576C07"/>
    <w:rsid w:val="00576E44"/>
    <w:rsid w:val="00577321"/>
    <w:rsid w:val="005775A0"/>
    <w:rsid w:val="005775B1"/>
    <w:rsid w:val="005777C2"/>
    <w:rsid w:val="0057791B"/>
    <w:rsid w:val="005802C7"/>
    <w:rsid w:val="005804AA"/>
    <w:rsid w:val="005806EF"/>
    <w:rsid w:val="005807B7"/>
    <w:rsid w:val="0058179C"/>
    <w:rsid w:val="0058197E"/>
    <w:rsid w:val="00581C0F"/>
    <w:rsid w:val="00581E55"/>
    <w:rsid w:val="00581E88"/>
    <w:rsid w:val="0058203E"/>
    <w:rsid w:val="00582560"/>
    <w:rsid w:val="005828E7"/>
    <w:rsid w:val="005830AE"/>
    <w:rsid w:val="00583108"/>
    <w:rsid w:val="005838DE"/>
    <w:rsid w:val="00583B6C"/>
    <w:rsid w:val="00583E7B"/>
    <w:rsid w:val="00583E91"/>
    <w:rsid w:val="00583FFF"/>
    <w:rsid w:val="00584385"/>
    <w:rsid w:val="00584890"/>
    <w:rsid w:val="00584923"/>
    <w:rsid w:val="00584A89"/>
    <w:rsid w:val="00584D7D"/>
    <w:rsid w:val="0058503B"/>
    <w:rsid w:val="005852E8"/>
    <w:rsid w:val="0058551D"/>
    <w:rsid w:val="00585582"/>
    <w:rsid w:val="005855D3"/>
    <w:rsid w:val="005858DD"/>
    <w:rsid w:val="00585D36"/>
    <w:rsid w:val="005864DE"/>
    <w:rsid w:val="005867BD"/>
    <w:rsid w:val="00586AC6"/>
    <w:rsid w:val="0058737F"/>
    <w:rsid w:val="005873D8"/>
    <w:rsid w:val="005874F9"/>
    <w:rsid w:val="005875B7"/>
    <w:rsid w:val="00587FB8"/>
    <w:rsid w:val="00590335"/>
    <w:rsid w:val="00590975"/>
    <w:rsid w:val="0059116C"/>
    <w:rsid w:val="00591999"/>
    <w:rsid w:val="005919C5"/>
    <w:rsid w:val="00591EB7"/>
    <w:rsid w:val="00592027"/>
    <w:rsid w:val="005921A9"/>
    <w:rsid w:val="00592D0F"/>
    <w:rsid w:val="005930D6"/>
    <w:rsid w:val="005931F8"/>
    <w:rsid w:val="005935E8"/>
    <w:rsid w:val="00593990"/>
    <w:rsid w:val="005939B4"/>
    <w:rsid w:val="0059445C"/>
    <w:rsid w:val="00594476"/>
    <w:rsid w:val="00594505"/>
    <w:rsid w:val="00594BED"/>
    <w:rsid w:val="005951CB"/>
    <w:rsid w:val="005952D7"/>
    <w:rsid w:val="00595379"/>
    <w:rsid w:val="00595396"/>
    <w:rsid w:val="00595FD2"/>
    <w:rsid w:val="0059604D"/>
    <w:rsid w:val="0059645D"/>
    <w:rsid w:val="00596726"/>
    <w:rsid w:val="0059694B"/>
    <w:rsid w:val="00596A93"/>
    <w:rsid w:val="00596BAB"/>
    <w:rsid w:val="00596D5F"/>
    <w:rsid w:val="00596D6E"/>
    <w:rsid w:val="00596D97"/>
    <w:rsid w:val="00596E74"/>
    <w:rsid w:val="005970CC"/>
    <w:rsid w:val="00597999"/>
    <w:rsid w:val="00597E6A"/>
    <w:rsid w:val="005A049E"/>
    <w:rsid w:val="005A04F9"/>
    <w:rsid w:val="005A0ADB"/>
    <w:rsid w:val="005A0B89"/>
    <w:rsid w:val="005A0E24"/>
    <w:rsid w:val="005A105F"/>
    <w:rsid w:val="005A113A"/>
    <w:rsid w:val="005A18CC"/>
    <w:rsid w:val="005A19F9"/>
    <w:rsid w:val="005A2ADB"/>
    <w:rsid w:val="005A2DDB"/>
    <w:rsid w:val="005A3324"/>
    <w:rsid w:val="005A3463"/>
    <w:rsid w:val="005A3534"/>
    <w:rsid w:val="005A3719"/>
    <w:rsid w:val="005A37A2"/>
    <w:rsid w:val="005A3D22"/>
    <w:rsid w:val="005A403E"/>
    <w:rsid w:val="005A40A5"/>
    <w:rsid w:val="005A41EF"/>
    <w:rsid w:val="005A42AC"/>
    <w:rsid w:val="005A4791"/>
    <w:rsid w:val="005A4AF1"/>
    <w:rsid w:val="005A53E2"/>
    <w:rsid w:val="005A5534"/>
    <w:rsid w:val="005A5582"/>
    <w:rsid w:val="005A576A"/>
    <w:rsid w:val="005A576F"/>
    <w:rsid w:val="005A596F"/>
    <w:rsid w:val="005A5EBD"/>
    <w:rsid w:val="005A5F32"/>
    <w:rsid w:val="005A5FF2"/>
    <w:rsid w:val="005A6085"/>
    <w:rsid w:val="005A638D"/>
    <w:rsid w:val="005A66B1"/>
    <w:rsid w:val="005A6969"/>
    <w:rsid w:val="005A6CDC"/>
    <w:rsid w:val="005A6EB4"/>
    <w:rsid w:val="005A7592"/>
    <w:rsid w:val="005A7750"/>
    <w:rsid w:val="005A7A04"/>
    <w:rsid w:val="005A7A72"/>
    <w:rsid w:val="005A7A7C"/>
    <w:rsid w:val="005A7EDC"/>
    <w:rsid w:val="005B02BD"/>
    <w:rsid w:val="005B0552"/>
    <w:rsid w:val="005B057D"/>
    <w:rsid w:val="005B09E1"/>
    <w:rsid w:val="005B1709"/>
    <w:rsid w:val="005B1B70"/>
    <w:rsid w:val="005B1B79"/>
    <w:rsid w:val="005B1B7F"/>
    <w:rsid w:val="005B1E76"/>
    <w:rsid w:val="005B203A"/>
    <w:rsid w:val="005B249B"/>
    <w:rsid w:val="005B27ED"/>
    <w:rsid w:val="005B2B23"/>
    <w:rsid w:val="005B2D8D"/>
    <w:rsid w:val="005B2F4F"/>
    <w:rsid w:val="005B30E3"/>
    <w:rsid w:val="005B3170"/>
    <w:rsid w:val="005B32CC"/>
    <w:rsid w:val="005B337A"/>
    <w:rsid w:val="005B38AC"/>
    <w:rsid w:val="005B3A27"/>
    <w:rsid w:val="005B3BA6"/>
    <w:rsid w:val="005B3CDA"/>
    <w:rsid w:val="005B3F7F"/>
    <w:rsid w:val="005B4BC6"/>
    <w:rsid w:val="005B4F3A"/>
    <w:rsid w:val="005B501D"/>
    <w:rsid w:val="005B533B"/>
    <w:rsid w:val="005B5488"/>
    <w:rsid w:val="005B5582"/>
    <w:rsid w:val="005B5792"/>
    <w:rsid w:val="005B59E8"/>
    <w:rsid w:val="005B5AAB"/>
    <w:rsid w:val="005B5EE7"/>
    <w:rsid w:val="005B5F63"/>
    <w:rsid w:val="005B6517"/>
    <w:rsid w:val="005B65BC"/>
    <w:rsid w:val="005B6889"/>
    <w:rsid w:val="005B6D53"/>
    <w:rsid w:val="005B71DB"/>
    <w:rsid w:val="005B7310"/>
    <w:rsid w:val="005B74F4"/>
    <w:rsid w:val="005B7864"/>
    <w:rsid w:val="005B7BC8"/>
    <w:rsid w:val="005B7FB6"/>
    <w:rsid w:val="005C0039"/>
    <w:rsid w:val="005C03E3"/>
    <w:rsid w:val="005C0ACA"/>
    <w:rsid w:val="005C1486"/>
    <w:rsid w:val="005C2589"/>
    <w:rsid w:val="005C262C"/>
    <w:rsid w:val="005C26FA"/>
    <w:rsid w:val="005C2CB7"/>
    <w:rsid w:val="005C2ECD"/>
    <w:rsid w:val="005C38B4"/>
    <w:rsid w:val="005C3CBD"/>
    <w:rsid w:val="005C4049"/>
    <w:rsid w:val="005C44B5"/>
    <w:rsid w:val="005C4645"/>
    <w:rsid w:val="005C49D6"/>
    <w:rsid w:val="005C4CB5"/>
    <w:rsid w:val="005C4CF5"/>
    <w:rsid w:val="005C5103"/>
    <w:rsid w:val="005C5727"/>
    <w:rsid w:val="005C572B"/>
    <w:rsid w:val="005C5E59"/>
    <w:rsid w:val="005C6452"/>
    <w:rsid w:val="005C658C"/>
    <w:rsid w:val="005C664F"/>
    <w:rsid w:val="005C683A"/>
    <w:rsid w:val="005C6B6E"/>
    <w:rsid w:val="005C6D01"/>
    <w:rsid w:val="005C73EC"/>
    <w:rsid w:val="005C7898"/>
    <w:rsid w:val="005C7B2E"/>
    <w:rsid w:val="005D01B7"/>
    <w:rsid w:val="005D028B"/>
    <w:rsid w:val="005D02A3"/>
    <w:rsid w:val="005D0A3F"/>
    <w:rsid w:val="005D0B96"/>
    <w:rsid w:val="005D0C15"/>
    <w:rsid w:val="005D0ED6"/>
    <w:rsid w:val="005D0EF3"/>
    <w:rsid w:val="005D11AD"/>
    <w:rsid w:val="005D16C2"/>
    <w:rsid w:val="005D16EE"/>
    <w:rsid w:val="005D17A5"/>
    <w:rsid w:val="005D1B1A"/>
    <w:rsid w:val="005D1B57"/>
    <w:rsid w:val="005D1E54"/>
    <w:rsid w:val="005D2136"/>
    <w:rsid w:val="005D23C3"/>
    <w:rsid w:val="005D2CB7"/>
    <w:rsid w:val="005D3213"/>
    <w:rsid w:val="005D354A"/>
    <w:rsid w:val="005D360F"/>
    <w:rsid w:val="005D3808"/>
    <w:rsid w:val="005D3982"/>
    <w:rsid w:val="005D39A2"/>
    <w:rsid w:val="005D3DF4"/>
    <w:rsid w:val="005D4167"/>
    <w:rsid w:val="005D426A"/>
    <w:rsid w:val="005D44D1"/>
    <w:rsid w:val="005D4561"/>
    <w:rsid w:val="005D4864"/>
    <w:rsid w:val="005D4D61"/>
    <w:rsid w:val="005D4F32"/>
    <w:rsid w:val="005D5453"/>
    <w:rsid w:val="005D562C"/>
    <w:rsid w:val="005D5D12"/>
    <w:rsid w:val="005D5D45"/>
    <w:rsid w:val="005D5E3D"/>
    <w:rsid w:val="005D5F7A"/>
    <w:rsid w:val="005D6929"/>
    <w:rsid w:val="005D6A6A"/>
    <w:rsid w:val="005D6B50"/>
    <w:rsid w:val="005D6BBE"/>
    <w:rsid w:val="005D73FE"/>
    <w:rsid w:val="005D75ED"/>
    <w:rsid w:val="005D760B"/>
    <w:rsid w:val="005D7DBF"/>
    <w:rsid w:val="005D7DEA"/>
    <w:rsid w:val="005D7F17"/>
    <w:rsid w:val="005E0176"/>
    <w:rsid w:val="005E0235"/>
    <w:rsid w:val="005E0375"/>
    <w:rsid w:val="005E06C3"/>
    <w:rsid w:val="005E09A1"/>
    <w:rsid w:val="005E0A30"/>
    <w:rsid w:val="005E0E19"/>
    <w:rsid w:val="005E1037"/>
    <w:rsid w:val="005E106F"/>
    <w:rsid w:val="005E11E3"/>
    <w:rsid w:val="005E1505"/>
    <w:rsid w:val="005E15C7"/>
    <w:rsid w:val="005E2033"/>
    <w:rsid w:val="005E2054"/>
    <w:rsid w:val="005E20D0"/>
    <w:rsid w:val="005E2795"/>
    <w:rsid w:val="005E2950"/>
    <w:rsid w:val="005E2D31"/>
    <w:rsid w:val="005E2D41"/>
    <w:rsid w:val="005E2EF2"/>
    <w:rsid w:val="005E319B"/>
    <w:rsid w:val="005E3208"/>
    <w:rsid w:val="005E32F6"/>
    <w:rsid w:val="005E3C62"/>
    <w:rsid w:val="005E402D"/>
    <w:rsid w:val="005E4420"/>
    <w:rsid w:val="005E5476"/>
    <w:rsid w:val="005E5763"/>
    <w:rsid w:val="005E5806"/>
    <w:rsid w:val="005E5B19"/>
    <w:rsid w:val="005E6177"/>
    <w:rsid w:val="005E632F"/>
    <w:rsid w:val="005E6944"/>
    <w:rsid w:val="005E6B57"/>
    <w:rsid w:val="005E6F59"/>
    <w:rsid w:val="005E6F89"/>
    <w:rsid w:val="005E6FE6"/>
    <w:rsid w:val="005E7076"/>
    <w:rsid w:val="005E77DD"/>
    <w:rsid w:val="005E7B8A"/>
    <w:rsid w:val="005F076D"/>
    <w:rsid w:val="005F0851"/>
    <w:rsid w:val="005F0CA9"/>
    <w:rsid w:val="005F11E9"/>
    <w:rsid w:val="005F128A"/>
    <w:rsid w:val="005F1526"/>
    <w:rsid w:val="005F1B87"/>
    <w:rsid w:val="005F25FF"/>
    <w:rsid w:val="005F2656"/>
    <w:rsid w:val="005F2907"/>
    <w:rsid w:val="005F2DA9"/>
    <w:rsid w:val="005F2EDB"/>
    <w:rsid w:val="005F3314"/>
    <w:rsid w:val="005F3537"/>
    <w:rsid w:val="005F37FE"/>
    <w:rsid w:val="005F3A36"/>
    <w:rsid w:val="005F4256"/>
    <w:rsid w:val="005F4612"/>
    <w:rsid w:val="005F463D"/>
    <w:rsid w:val="005F47AF"/>
    <w:rsid w:val="005F519A"/>
    <w:rsid w:val="005F5C62"/>
    <w:rsid w:val="005F5CAB"/>
    <w:rsid w:val="005F6951"/>
    <w:rsid w:val="005F6DD2"/>
    <w:rsid w:val="005F75D0"/>
    <w:rsid w:val="005F7752"/>
    <w:rsid w:val="005F7923"/>
    <w:rsid w:val="005F7A22"/>
    <w:rsid w:val="005F7CB7"/>
    <w:rsid w:val="005F7D4A"/>
    <w:rsid w:val="00600058"/>
    <w:rsid w:val="0060013F"/>
    <w:rsid w:val="00600AFB"/>
    <w:rsid w:val="00600C26"/>
    <w:rsid w:val="00600E60"/>
    <w:rsid w:val="00600F99"/>
    <w:rsid w:val="006015AB"/>
    <w:rsid w:val="00601B94"/>
    <w:rsid w:val="00601C03"/>
    <w:rsid w:val="00601ED6"/>
    <w:rsid w:val="00602CC6"/>
    <w:rsid w:val="0060317D"/>
    <w:rsid w:val="00603211"/>
    <w:rsid w:val="0060359E"/>
    <w:rsid w:val="00603616"/>
    <w:rsid w:val="00603652"/>
    <w:rsid w:val="006036B4"/>
    <w:rsid w:val="00603992"/>
    <w:rsid w:val="00603A5A"/>
    <w:rsid w:val="0060404C"/>
    <w:rsid w:val="006046F7"/>
    <w:rsid w:val="00604741"/>
    <w:rsid w:val="00604C30"/>
    <w:rsid w:val="006053CD"/>
    <w:rsid w:val="00605A62"/>
    <w:rsid w:val="00605AE2"/>
    <w:rsid w:val="00606A30"/>
    <w:rsid w:val="00606DA4"/>
    <w:rsid w:val="006070AE"/>
    <w:rsid w:val="00607553"/>
    <w:rsid w:val="006077B7"/>
    <w:rsid w:val="006079F2"/>
    <w:rsid w:val="00610288"/>
    <w:rsid w:val="00610876"/>
    <w:rsid w:val="0061090F"/>
    <w:rsid w:val="00610C7B"/>
    <w:rsid w:val="00610E0F"/>
    <w:rsid w:val="0061138C"/>
    <w:rsid w:val="00611504"/>
    <w:rsid w:val="00611535"/>
    <w:rsid w:val="00611B3F"/>
    <w:rsid w:val="00611B6C"/>
    <w:rsid w:val="00611BF1"/>
    <w:rsid w:val="00611DA7"/>
    <w:rsid w:val="006120CA"/>
    <w:rsid w:val="006128F5"/>
    <w:rsid w:val="00612995"/>
    <w:rsid w:val="00612B24"/>
    <w:rsid w:val="00612CAE"/>
    <w:rsid w:val="00612DD8"/>
    <w:rsid w:val="00612E59"/>
    <w:rsid w:val="00612FEA"/>
    <w:rsid w:val="0061310E"/>
    <w:rsid w:val="006131F5"/>
    <w:rsid w:val="0061365F"/>
    <w:rsid w:val="0061367E"/>
    <w:rsid w:val="00613A09"/>
    <w:rsid w:val="0061448D"/>
    <w:rsid w:val="006144E5"/>
    <w:rsid w:val="0061466F"/>
    <w:rsid w:val="00614E22"/>
    <w:rsid w:val="00615829"/>
    <w:rsid w:val="00615918"/>
    <w:rsid w:val="00615E4E"/>
    <w:rsid w:val="006161D9"/>
    <w:rsid w:val="0061655B"/>
    <w:rsid w:val="006166CC"/>
    <w:rsid w:val="00616B38"/>
    <w:rsid w:val="00616E89"/>
    <w:rsid w:val="00616F0A"/>
    <w:rsid w:val="0061718A"/>
    <w:rsid w:val="006178C9"/>
    <w:rsid w:val="00617CBB"/>
    <w:rsid w:val="00617D13"/>
    <w:rsid w:val="00617D34"/>
    <w:rsid w:val="00621442"/>
    <w:rsid w:val="006214A1"/>
    <w:rsid w:val="00622276"/>
    <w:rsid w:val="006224C9"/>
    <w:rsid w:val="0062299D"/>
    <w:rsid w:val="006229C0"/>
    <w:rsid w:val="00622E31"/>
    <w:rsid w:val="00623112"/>
    <w:rsid w:val="006235EA"/>
    <w:rsid w:val="0062377F"/>
    <w:rsid w:val="0062390F"/>
    <w:rsid w:val="00623BBB"/>
    <w:rsid w:val="00623E78"/>
    <w:rsid w:val="00624237"/>
    <w:rsid w:val="00624327"/>
    <w:rsid w:val="0062486B"/>
    <w:rsid w:val="0062507F"/>
    <w:rsid w:val="006257AF"/>
    <w:rsid w:val="00625C5F"/>
    <w:rsid w:val="00625EEA"/>
    <w:rsid w:val="00626C4C"/>
    <w:rsid w:val="006271EF"/>
    <w:rsid w:val="0062752E"/>
    <w:rsid w:val="00627741"/>
    <w:rsid w:val="00627F32"/>
    <w:rsid w:val="00627FBE"/>
    <w:rsid w:val="00630089"/>
    <w:rsid w:val="0063080C"/>
    <w:rsid w:val="00630A3C"/>
    <w:rsid w:val="00630E91"/>
    <w:rsid w:val="00630EC3"/>
    <w:rsid w:val="00630F57"/>
    <w:rsid w:val="006310EA"/>
    <w:rsid w:val="006315E8"/>
    <w:rsid w:val="00631AF7"/>
    <w:rsid w:val="006322AF"/>
    <w:rsid w:val="006322CD"/>
    <w:rsid w:val="00632388"/>
    <w:rsid w:val="0063256B"/>
    <w:rsid w:val="0063258B"/>
    <w:rsid w:val="00632C68"/>
    <w:rsid w:val="00632EE4"/>
    <w:rsid w:val="00633DB8"/>
    <w:rsid w:val="00633FE9"/>
    <w:rsid w:val="0063455A"/>
    <w:rsid w:val="006346CB"/>
    <w:rsid w:val="00634BE2"/>
    <w:rsid w:val="00634CC4"/>
    <w:rsid w:val="00634D8B"/>
    <w:rsid w:val="00634DF6"/>
    <w:rsid w:val="006351C2"/>
    <w:rsid w:val="00635910"/>
    <w:rsid w:val="00635BB7"/>
    <w:rsid w:val="00635CDA"/>
    <w:rsid w:val="00635F08"/>
    <w:rsid w:val="00636209"/>
    <w:rsid w:val="0063650F"/>
    <w:rsid w:val="00636795"/>
    <w:rsid w:val="006375C4"/>
    <w:rsid w:val="006377CA"/>
    <w:rsid w:val="00637B51"/>
    <w:rsid w:val="00637CC4"/>
    <w:rsid w:val="00637EA3"/>
    <w:rsid w:val="00640396"/>
    <w:rsid w:val="0064080A"/>
    <w:rsid w:val="00640AAC"/>
    <w:rsid w:val="00640BCE"/>
    <w:rsid w:val="00640BCF"/>
    <w:rsid w:val="00640E20"/>
    <w:rsid w:val="00640F2B"/>
    <w:rsid w:val="00640F36"/>
    <w:rsid w:val="006411DA"/>
    <w:rsid w:val="00641503"/>
    <w:rsid w:val="00641546"/>
    <w:rsid w:val="006416B6"/>
    <w:rsid w:val="00641B82"/>
    <w:rsid w:val="00641D20"/>
    <w:rsid w:val="00641DE4"/>
    <w:rsid w:val="00641E6F"/>
    <w:rsid w:val="0064200F"/>
    <w:rsid w:val="0064206F"/>
    <w:rsid w:val="00642072"/>
    <w:rsid w:val="0064211C"/>
    <w:rsid w:val="00642320"/>
    <w:rsid w:val="006427E3"/>
    <w:rsid w:val="00643264"/>
    <w:rsid w:val="006435AC"/>
    <w:rsid w:val="00643CD1"/>
    <w:rsid w:val="00644374"/>
    <w:rsid w:val="006444BF"/>
    <w:rsid w:val="006449EE"/>
    <w:rsid w:val="0064510A"/>
    <w:rsid w:val="0064561A"/>
    <w:rsid w:val="006457DF"/>
    <w:rsid w:val="00645B04"/>
    <w:rsid w:val="00645D14"/>
    <w:rsid w:val="00645D55"/>
    <w:rsid w:val="00645D7E"/>
    <w:rsid w:val="0064637B"/>
    <w:rsid w:val="00646F58"/>
    <w:rsid w:val="0064700F"/>
    <w:rsid w:val="006472A3"/>
    <w:rsid w:val="00647A54"/>
    <w:rsid w:val="00647B08"/>
    <w:rsid w:val="006500BC"/>
    <w:rsid w:val="00650EA3"/>
    <w:rsid w:val="00651B92"/>
    <w:rsid w:val="00652038"/>
    <w:rsid w:val="006523CC"/>
    <w:rsid w:val="006524E9"/>
    <w:rsid w:val="00652DC1"/>
    <w:rsid w:val="00653087"/>
    <w:rsid w:val="00653A06"/>
    <w:rsid w:val="00653AB7"/>
    <w:rsid w:val="00653AD4"/>
    <w:rsid w:val="00653C94"/>
    <w:rsid w:val="0065401D"/>
    <w:rsid w:val="00654046"/>
    <w:rsid w:val="006542BA"/>
    <w:rsid w:val="00654359"/>
    <w:rsid w:val="00654896"/>
    <w:rsid w:val="00654911"/>
    <w:rsid w:val="00654A44"/>
    <w:rsid w:val="00654A6F"/>
    <w:rsid w:val="00654E84"/>
    <w:rsid w:val="00654EDA"/>
    <w:rsid w:val="00654F3E"/>
    <w:rsid w:val="00655029"/>
    <w:rsid w:val="006553DC"/>
    <w:rsid w:val="006555B0"/>
    <w:rsid w:val="00655908"/>
    <w:rsid w:val="006559B9"/>
    <w:rsid w:val="00655A71"/>
    <w:rsid w:val="00655B83"/>
    <w:rsid w:val="00655F35"/>
    <w:rsid w:val="00656504"/>
    <w:rsid w:val="00656582"/>
    <w:rsid w:val="00656B21"/>
    <w:rsid w:val="00656C49"/>
    <w:rsid w:val="00656F15"/>
    <w:rsid w:val="00657279"/>
    <w:rsid w:val="00657552"/>
    <w:rsid w:val="006575C6"/>
    <w:rsid w:val="00657689"/>
    <w:rsid w:val="006578F1"/>
    <w:rsid w:val="00657934"/>
    <w:rsid w:val="00657B7E"/>
    <w:rsid w:val="00657DD6"/>
    <w:rsid w:val="0066030E"/>
    <w:rsid w:val="0066056C"/>
    <w:rsid w:val="00660B3B"/>
    <w:rsid w:val="00660C6F"/>
    <w:rsid w:val="00660CD5"/>
    <w:rsid w:val="00661118"/>
    <w:rsid w:val="006613D2"/>
    <w:rsid w:val="0066196B"/>
    <w:rsid w:val="00661AE4"/>
    <w:rsid w:val="00661C7E"/>
    <w:rsid w:val="00661F7A"/>
    <w:rsid w:val="00661F97"/>
    <w:rsid w:val="00662525"/>
    <w:rsid w:val="006626B3"/>
    <w:rsid w:val="00662CBF"/>
    <w:rsid w:val="00662D13"/>
    <w:rsid w:val="00662D65"/>
    <w:rsid w:val="00662F50"/>
    <w:rsid w:val="006637AC"/>
    <w:rsid w:val="00663920"/>
    <w:rsid w:val="00663974"/>
    <w:rsid w:val="00663C8A"/>
    <w:rsid w:val="00663F87"/>
    <w:rsid w:val="0066403D"/>
    <w:rsid w:val="00664A9B"/>
    <w:rsid w:val="006653DE"/>
    <w:rsid w:val="00665745"/>
    <w:rsid w:val="006657EC"/>
    <w:rsid w:val="00665808"/>
    <w:rsid w:val="006659A5"/>
    <w:rsid w:val="00665DCD"/>
    <w:rsid w:val="0066614A"/>
    <w:rsid w:val="0066615C"/>
    <w:rsid w:val="00666851"/>
    <w:rsid w:val="006673E7"/>
    <w:rsid w:val="00667644"/>
    <w:rsid w:val="00667918"/>
    <w:rsid w:val="00667987"/>
    <w:rsid w:val="00667ACD"/>
    <w:rsid w:val="00667E04"/>
    <w:rsid w:val="00667E91"/>
    <w:rsid w:val="00667EED"/>
    <w:rsid w:val="006705F4"/>
    <w:rsid w:val="00670CAF"/>
    <w:rsid w:val="00670E47"/>
    <w:rsid w:val="006716A9"/>
    <w:rsid w:val="006719A7"/>
    <w:rsid w:val="00671B7B"/>
    <w:rsid w:val="00672925"/>
    <w:rsid w:val="006729D5"/>
    <w:rsid w:val="00672F4F"/>
    <w:rsid w:val="0067328D"/>
    <w:rsid w:val="0067381C"/>
    <w:rsid w:val="00673DFE"/>
    <w:rsid w:val="00674178"/>
    <w:rsid w:val="00674315"/>
    <w:rsid w:val="006747D3"/>
    <w:rsid w:val="006748DE"/>
    <w:rsid w:val="00674DFE"/>
    <w:rsid w:val="00675004"/>
    <w:rsid w:val="006750CF"/>
    <w:rsid w:val="00675D05"/>
    <w:rsid w:val="00675DD9"/>
    <w:rsid w:val="00676311"/>
    <w:rsid w:val="006769EF"/>
    <w:rsid w:val="00676C6F"/>
    <w:rsid w:val="00676D21"/>
    <w:rsid w:val="00677083"/>
    <w:rsid w:val="00677331"/>
    <w:rsid w:val="006773D3"/>
    <w:rsid w:val="00677429"/>
    <w:rsid w:val="00677922"/>
    <w:rsid w:val="00677AA5"/>
    <w:rsid w:val="00677C35"/>
    <w:rsid w:val="006801EB"/>
    <w:rsid w:val="00680807"/>
    <w:rsid w:val="00680942"/>
    <w:rsid w:val="00680AE7"/>
    <w:rsid w:val="00680B1B"/>
    <w:rsid w:val="00680C1C"/>
    <w:rsid w:val="00680FC1"/>
    <w:rsid w:val="00681190"/>
    <w:rsid w:val="006814FF"/>
    <w:rsid w:val="0068199A"/>
    <w:rsid w:val="006820DD"/>
    <w:rsid w:val="00682415"/>
    <w:rsid w:val="0068246F"/>
    <w:rsid w:val="006827CC"/>
    <w:rsid w:val="006831C3"/>
    <w:rsid w:val="006832C5"/>
    <w:rsid w:val="00683AF0"/>
    <w:rsid w:val="00683E9F"/>
    <w:rsid w:val="00684247"/>
    <w:rsid w:val="00684873"/>
    <w:rsid w:val="00684B99"/>
    <w:rsid w:val="00684EDB"/>
    <w:rsid w:val="00684FC4"/>
    <w:rsid w:val="006850CA"/>
    <w:rsid w:val="00685329"/>
    <w:rsid w:val="006854AE"/>
    <w:rsid w:val="00685A05"/>
    <w:rsid w:val="00685BB8"/>
    <w:rsid w:val="00685F73"/>
    <w:rsid w:val="00686283"/>
    <w:rsid w:val="006863CD"/>
    <w:rsid w:val="006867DC"/>
    <w:rsid w:val="006868BE"/>
    <w:rsid w:val="00686BD9"/>
    <w:rsid w:val="006870E2"/>
    <w:rsid w:val="006875F1"/>
    <w:rsid w:val="006876B0"/>
    <w:rsid w:val="006877C2"/>
    <w:rsid w:val="00687889"/>
    <w:rsid w:val="00687C64"/>
    <w:rsid w:val="00687F2E"/>
    <w:rsid w:val="00690339"/>
    <w:rsid w:val="006919CE"/>
    <w:rsid w:val="0069228A"/>
    <w:rsid w:val="006924E0"/>
    <w:rsid w:val="00692687"/>
    <w:rsid w:val="006926E2"/>
    <w:rsid w:val="00693256"/>
    <w:rsid w:val="00693CAA"/>
    <w:rsid w:val="00693CBE"/>
    <w:rsid w:val="00693FA0"/>
    <w:rsid w:val="0069431F"/>
    <w:rsid w:val="00694351"/>
    <w:rsid w:val="00694424"/>
    <w:rsid w:val="00694534"/>
    <w:rsid w:val="0069496F"/>
    <w:rsid w:val="00694FA9"/>
    <w:rsid w:val="00694FBC"/>
    <w:rsid w:val="00695049"/>
    <w:rsid w:val="0069521D"/>
    <w:rsid w:val="00695259"/>
    <w:rsid w:val="006953A4"/>
    <w:rsid w:val="006957F1"/>
    <w:rsid w:val="0069585F"/>
    <w:rsid w:val="00695CBA"/>
    <w:rsid w:val="00695FEC"/>
    <w:rsid w:val="0069613F"/>
    <w:rsid w:val="0069624A"/>
    <w:rsid w:val="006964D9"/>
    <w:rsid w:val="0069656C"/>
    <w:rsid w:val="00696A38"/>
    <w:rsid w:val="00696BD5"/>
    <w:rsid w:val="00696E14"/>
    <w:rsid w:val="0069701F"/>
    <w:rsid w:val="0069714D"/>
    <w:rsid w:val="0069747E"/>
    <w:rsid w:val="006975A6"/>
    <w:rsid w:val="00697983"/>
    <w:rsid w:val="00697B16"/>
    <w:rsid w:val="00697EAE"/>
    <w:rsid w:val="006A0211"/>
    <w:rsid w:val="006A07B3"/>
    <w:rsid w:val="006A07E9"/>
    <w:rsid w:val="006A120C"/>
    <w:rsid w:val="006A1410"/>
    <w:rsid w:val="006A1487"/>
    <w:rsid w:val="006A1948"/>
    <w:rsid w:val="006A198A"/>
    <w:rsid w:val="006A1C79"/>
    <w:rsid w:val="006A1E51"/>
    <w:rsid w:val="006A2348"/>
    <w:rsid w:val="006A240B"/>
    <w:rsid w:val="006A2618"/>
    <w:rsid w:val="006A2AA0"/>
    <w:rsid w:val="006A2EBB"/>
    <w:rsid w:val="006A3A64"/>
    <w:rsid w:val="006A3B0D"/>
    <w:rsid w:val="006A3C97"/>
    <w:rsid w:val="006A3D4C"/>
    <w:rsid w:val="006A3F32"/>
    <w:rsid w:val="006A4771"/>
    <w:rsid w:val="006A4F62"/>
    <w:rsid w:val="006A58B2"/>
    <w:rsid w:val="006A5AFF"/>
    <w:rsid w:val="006A5BBB"/>
    <w:rsid w:val="006A5DE3"/>
    <w:rsid w:val="006A623C"/>
    <w:rsid w:val="006A63A6"/>
    <w:rsid w:val="006A6537"/>
    <w:rsid w:val="006A6679"/>
    <w:rsid w:val="006A6A3D"/>
    <w:rsid w:val="006A6F6D"/>
    <w:rsid w:val="006A7474"/>
    <w:rsid w:val="006A753C"/>
    <w:rsid w:val="006A7943"/>
    <w:rsid w:val="006A79A7"/>
    <w:rsid w:val="006A7FE9"/>
    <w:rsid w:val="006B04A1"/>
    <w:rsid w:val="006B0ACA"/>
    <w:rsid w:val="006B0C00"/>
    <w:rsid w:val="006B1325"/>
    <w:rsid w:val="006B13BE"/>
    <w:rsid w:val="006B185C"/>
    <w:rsid w:val="006B220A"/>
    <w:rsid w:val="006B29D5"/>
    <w:rsid w:val="006B2AEB"/>
    <w:rsid w:val="006B2DA4"/>
    <w:rsid w:val="006B2DEC"/>
    <w:rsid w:val="006B2EAD"/>
    <w:rsid w:val="006B3327"/>
    <w:rsid w:val="006B33F5"/>
    <w:rsid w:val="006B370A"/>
    <w:rsid w:val="006B3B76"/>
    <w:rsid w:val="006B4036"/>
    <w:rsid w:val="006B407C"/>
    <w:rsid w:val="006B414F"/>
    <w:rsid w:val="006B47B2"/>
    <w:rsid w:val="006B4A6A"/>
    <w:rsid w:val="006B4CBD"/>
    <w:rsid w:val="006B5265"/>
    <w:rsid w:val="006B5365"/>
    <w:rsid w:val="006B5437"/>
    <w:rsid w:val="006B54AA"/>
    <w:rsid w:val="006B55BB"/>
    <w:rsid w:val="006B581A"/>
    <w:rsid w:val="006B5A7D"/>
    <w:rsid w:val="006B6921"/>
    <w:rsid w:val="006B6BB8"/>
    <w:rsid w:val="006B6E01"/>
    <w:rsid w:val="006B6FAD"/>
    <w:rsid w:val="006B7369"/>
    <w:rsid w:val="006B758E"/>
    <w:rsid w:val="006B7765"/>
    <w:rsid w:val="006C048C"/>
    <w:rsid w:val="006C0695"/>
    <w:rsid w:val="006C0C81"/>
    <w:rsid w:val="006C0D49"/>
    <w:rsid w:val="006C115C"/>
    <w:rsid w:val="006C15AE"/>
    <w:rsid w:val="006C174F"/>
    <w:rsid w:val="006C1981"/>
    <w:rsid w:val="006C1AF7"/>
    <w:rsid w:val="006C1CBD"/>
    <w:rsid w:val="006C1E52"/>
    <w:rsid w:val="006C20FA"/>
    <w:rsid w:val="006C218D"/>
    <w:rsid w:val="006C2237"/>
    <w:rsid w:val="006C25A7"/>
    <w:rsid w:val="006C2626"/>
    <w:rsid w:val="006C2AF0"/>
    <w:rsid w:val="006C2D00"/>
    <w:rsid w:val="006C3945"/>
    <w:rsid w:val="006C3E84"/>
    <w:rsid w:val="006C403F"/>
    <w:rsid w:val="006C4175"/>
    <w:rsid w:val="006C44E3"/>
    <w:rsid w:val="006C4586"/>
    <w:rsid w:val="006C4D97"/>
    <w:rsid w:val="006C4DFF"/>
    <w:rsid w:val="006C4F10"/>
    <w:rsid w:val="006C5889"/>
    <w:rsid w:val="006C624D"/>
    <w:rsid w:val="006C65D0"/>
    <w:rsid w:val="006C6F69"/>
    <w:rsid w:val="006C70F5"/>
    <w:rsid w:val="006C721C"/>
    <w:rsid w:val="006C72B0"/>
    <w:rsid w:val="006C7405"/>
    <w:rsid w:val="006C783F"/>
    <w:rsid w:val="006C7AD9"/>
    <w:rsid w:val="006C7B8A"/>
    <w:rsid w:val="006C7CBD"/>
    <w:rsid w:val="006D029A"/>
    <w:rsid w:val="006D0424"/>
    <w:rsid w:val="006D0444"/>
    <w:rsid w:val="006D055A"/>
    <w:rsid w:val="006D0A5F"/>
    <w:rsid w:val="006D0C4C"/>
    <w:rsid w:val="006D0F12"/>
    <w:rsid w:val="006D1055"/>
    <w:rsid w:val="006D1253"/>
    <w:rsid w:val="006D1D0C"/>
    <w:rsid w:val="006D1E71"/>
    <w:rsid w:val="006D2A1C"/>
    <w:rsid w:val="006D2F6A"/>
    <w:rsid w:val="006D3795"/>
    <w:rsid w:val="006D3985"/>
    <w:rsid w:val="006D398E"/>
    <w:rsid w:val="006D3ED6"/>
    <w:rsid w:val="006D3F65"/>
    <w:rsid w:val="006D4053"/>
    <w:rsid w:val="006D40BD"/>
    <w:rsid w:val="006D467A"/>
    <w:rsid w:val="006D491E"/>
    <w:rsid w:val="006D4E09"/>
    <w:rsid w:val="006D5181"/>
    <w:rsid w:val="006D58D6"/>
    <w:rsid w:val="006D5BCC"/>
    <w:rsid w:val="006D5C07"/>
    <w:rsid w:val="006D5D3E"/>
    <w:rsid w:val="006D5F09"/>
    <w:rsid w:val="006D60F9"/>
    <w:rsid w:val="006D62DA"/>
    <w:rsid w:val="006D6331"/>
    <w:rsid w:val="006D656F"/>
    <w:rsid w:val="006D6583"/>
    <w:rsid w:val="006D65A4"/>
    <w:rsid w:val="006D67F0"/>
    <w:rsid w:val="006D6DCA"/>
    <w:rsid w:val="006D6FCC"/>
    <w:rsid w:val="006D757C"/>
    <w:rsid w:val="006E0200"/>
    <w:rsid w:val="006E02E1"/>
    <w:rsid w:val="006E0420"/>
    <w:rsid w:val="006E0534"/>
    <w:rsid w:val="006E0739"/>
    <w:rsid w:val="006E0F21"/>
    <w:rsid w:val="006E12B0"/>
    <w:rsid w:val="006E1380"/>
    <w:rsid w:val="006E15F1"/>
    <w:rsid w:val="006E16DF"/>
    <w:rsid w:val="006E175A"/>
    <w:rsid w:val="006E1A16"/>
    <w:rsid w:val="006E1DBE"/>
    <w:rsid w:val="006E1EE2"/>
    <w:rsid w:val="006E2496"/>
    <w:rsid w:val="006E2577"/>
    <w:rsid w:val="006E2644"/>
    <w:rsid w:val="006E29B1"/>
    <w:rsid w:val="006E2B9A"/>
    <w:rsid w:val="006E3C60"/>
    <w:rsid w:val="006E4682"/>
    <w:rsid w:val="006E49D9"/>
    <w:rsid w:val="006E4B81"/>
    <w:rsid w:val="006E4F34"/>
    <w:rsid w:val="006E548B"/>
    <w:rsid w:val="006E5788"/>
    <w:rsid w:val="006E58F2"/>
    <w:rsid w:val="006E5AA5"/>
    <w:rsid w:val="006E5C1D"/>
    <w:rsid w:val="006E60A3"/>
    <w:rsid w:val="006E6862"/>
    <w:rsid w:val="006E6CBD"/>
    <w:rsid w:val="006E6E90"/>
    <w:rsid w:val="006E71E2"/>
    <w:rsid w:val="006E7362"/>
    <w:rsid w:val="006E7A3F"/>
    <w:rsid w:val="006E7CB8"/>
    <w:rsid w:val="006E7CBA"/>
    <w:rsid w:val="006E7E6E"/>
    <w:rsid w:val="006F049C"/>
    <w:rsid w:val="006F0736"/>
    <w:rsid w:val="006F0918"/>
    <w:rsid w:val="006F0F15"/>
    <w:rsid w:val="006F0FBB"/>
    <w:rsid w:val="006F11E5"/>
    <w:rsid w:val="006F14AE"/>
    <w:rsid w:val="006F14F1"/>
    <w:rsid w:val="006F1565"/>
    <w:rsid w:val="006F183C"/>
    <w:rsid w:val="006F1BAA"/>
    <w:rsid w:val="006F2017"/>
    <w:rsid w:val="006F233C"/>
    <w:rsid w:val="006F286E"/>
    <w:rsid w:val="006F2BB5"/>
    <w:rsid w:val="006F2E58"/>
    <w:rsid w:val="006F32BC"/>
    <w:rsid w:val="006F3309"/>
    <w:rsid w:val="006F3B03"/>
    <w:rsid w:val="006F3E02"/>
    <w:rsid w:val="006F4926"/>
    <w:rsid w:val="006F4B04"/>
    <w:rsid w:val="006F4B33"/>
    <w:rsid w:val="006F4CEA"/>
    <w:rsid w:val="006F5393"/>
    <w:rsid w:val="006F588E"/>
    <w:rsid w:val="006F6151"/>
    <w:rsid w:val="006F68B2"/>
    <w:rsid w:val="006F6A29"/>
    <w:rsid w:val="006F6AEA"/>
    <w:rsid w:val="006F6ECE"/>
    <w:rsid w:val="006F7406"/>
    <w:rsid w:val="006F7494"/>
    <w:rsid w:val="006F75AF"/>
    <w:rsid w:val="006F7612"/>
    <w:rsid w:val="006F7D56"/>
    <w:rsid w:val="007009F1"/>
    <w:rsid w:val="00700D44"/>
    <w:rsid w:val="00701037"/>
    <w:rsid w:val="0070107A"/>
    <w:rsid w:val="0070126F"/>
    <w:rsid w:val="0070146C"/>
    <w:rsid w:val="00701674"/>
    <w:rsid w:val="007016D5"/>
    <w:rsid w:val="00701745"/>
    <w:rsid w:val="00701750"/>
    <w:rsid w:val="00701CD0"/>
    <w:rsid w:val="00702211"/>
    <w:rsid w:val="00702985"/>
    <w:rsid w:val="00702D3A"/>
    <w:rsid w:val="00702DA7"/>
    <w:rsid w:val="00702F96"/>
    <w:rsid w:val="00703179"/>
    <w:rsid w:val="00703A5F"/>
    <w:rsid w:val="00703DB7"/>
    <w:rsid w:val="007040E7"/>
    <w:rsid w:val="007041A6"/>
    <w:rsid w:val="007041E4"/>
    <w:rsid w:val="0070421A"/>
    <w:rsid w:val="00704496"/>
    <w:rsid w:val="00705100"/>
    <w:rsid w:val="00705391"/>
    <w:rsid w:val="0070563F"/>
    <w:rsid w:val="00705BFA"/>
    <w:rsid w:val="00706707"/>
    <w:rsid w:val="007069D6"/>
    <w:rsid w:val="007069F5"/>
    <w:rsid w:val="00706D22"/>
    <w:rsid w:val="0070757D"/>
    <w:rsid w:val="007077BC"/>
    <w:rsid w:val="0070792E"/>
    <w:rsid w:val="00707B47"/>
    <w:rsid w:val="00707B57"/>
    <w:rsid w:val="00707DE0"/>
    <w:rsid w:val="007100AD"/>
    <w:rsid w:val="00710367"/>
    <w:rsid w:val="0071057A"/>
    <w:rsid w:val="007105AC"/>
    <w:rsid w:val="00710AEF"/>
    <w:rsid w:val="00710C83"/>
    <w:rsid w:val="00710DDA"/>
    <w:rsid w:val="007110C3"/>
    <w:rsid w:val="0071114B"/>
    <w:rsid w:val="007111D1"/>
    <w:rsid w:val="00711679"/>
    <w:rsid w:val="00711893"/>
    <w:rsid w:val="00711DA1"/>
    <w:rsid w:val="007123BC"/>
    <w:rsid w:val="007127C5"/>
    <w:rsid w:val="00712EC1"/>
    <w:rsid w:val="00712F01"/>
    <w:rsid w:val="00713935"/>
    <w:rsid w:val="00713B65"/>
    <w:rsid w:val="00713DB3"/>
    <w:rsid w:val="00713DFA"/>
    <w:rsid w:val="00713FAB"/>
    <w:rsid w:val="0071419B"/>
    <w:rsid w:val="00714618"/>
    <w:rsid w:val="00714C85"/>
    <w:rsid w:val="00714E49"/>
    <w:rsid w:val="00714F84"/>
    <w:rsid w:val="007152A2"/>
    <w:rsid w:val="007152B6"/>
    <w:rsid w:val="007153CC"/>
    <w:rsid w:val="007155BF"/>
    <w:rsid w:val="00715632"/>
    <w:rsid w:val="0071567E"/>
    <w:rsid w:val="007159BC"/>
    <w:rsid w:val="00715AF2"/>
    <w:rsid w:val="00715BE0"/>
    <w:rsid w:val="00715F68"/>
    <w:rsid w:val="007160D6"/>
    <w:rsid w:val="00716397"/>
    <w:rsid w:val="00716434"/>
    <w:rsid w:val="00716BD0"/>
    <w:rsid w:val="00716C0B"/>
    <w:rsid w:val="00716DCC"/>
    <w:rsid w:val="00716F87"/>
    <w:rsid w:val="00716FF6"/>
    <w:rsid w:val="00717097"/>
    <w:rsid w:val="007172FB"/>
    <w:rsid w:val="00717349"/>
    <w:rsid w:val="0071739B"/>
    <w:rsid w:val="00717940"/>
    <w:rsid w:val="00717A87"/>
    <w:rsid w:val="00717DFC"/>
    <w:rsid w:val="00717E22"/>
    <w:rsid w:val="00717EF4"/>
    <w:rsid w:val="00717F77"/>
    <w:rsid w:val="00720A72"/>
    <w:rsid w:val="00720D61"/>
    <w:rsid w:val="00720F02"/>
    <w:rsid w:val="00720FA2"/>
    <w:rsid w:val="00721590"/>
    <w:rsid w:val="0072198E"/>
    <w:rsid w:val="00721C32"/>
    <w:rsid w:val="007221A5"/>
    <w:rsid w:val="00722281"/>
    <w:rsid w:val="00722289"/>
    <w:rsid w:val="0072248A"/>
    <w:rsid w:val="007226E4"/>
    <w:rsid w:val="0072292A"/>
    <w:rsid w:val="00722A66"/>
    <w:rsid w:val="00722AF5"/>
    <w:rsid w:val="00722E9B"/>
    <w:rsid w:val="0072303C"/>
    <w:rsid w:val="007230B3"/>
    <w:rsid w:val="007235EB"/>
    <w:rsid w:val="00723CA5"/>
    <w:rsid w:val="00723EA9"/>
    <w:rsid w:val="007242AB"/>
    <w:rsid w:val="007244BB"/>
    <w:rsid w:val="0072480D"/>
    <w:rsid w:val="00724B7A"/>
    <w:rsid w:val="00724BE0"/>
    <w:rsid w:val="0072501A"/>
    <w:rsid w:val="00725170"/>
    <w:rsid w:val="007251CB"/>
    <w:rsid w:val="00725646"/>
    <w:rsid w:val="00725759"/>
    <w:rsid w:val="00725E05"/>
    <w:rsid w:val="00726135"/>
    <w:rsid w:val="00726806"/>
    <w:rsid w:val="00726B76"/>
    <w:rsid w:val="00726BD0"/>
    <w:rsid w:val="0072702E"/>
    <w:rsid w:val="0072719A"/>
    <w:rsid w:val="007272DA"/>
    <w:rsid w:val="00727789"/>
    <w:rsid w:val="007306BA"/>
    <w:rsid w:val="00731285"/>
    <w:rsid w:val="0073164D"/>
    <w:rsid w:val="00731AF4"/>
    <w:rsid w:val="00731FFC"/>
    <w:rsid w:val="007321E2"/>
    <w:rsid w:val="0073225C"/>
    <w:rsid w:val="007323A9"/>
    <w:rsid w:val="007325E6"/>
    <w:rsid w:val="0073289E"/>
    <w:rsid w:val="00732FC4"/>
    <w:rsid w:val="007334C8"/>
    <w:rsid w:val="00734033"/>
    <w:rsid w:val="00734153"/>
    <w:rsid w:val="00734471"/>
    <w:rsid w:val="00734488"/>
    <w:rsid w:val="0073460C"/>
    <w:rsid w:val="00734769"/>
    <w:rsid w:val="0073488E"/>
    <w:rsid w:val="00734B9E"/>
    <w:rsid w:val="00734C7A"/>
    <w:rsid w:val="007350C8"/>
    <w:rsid w:val="0073591A"/>
    <w:rsid w:val="00735D32"/>
    <w:rsid w:val="00736072"/>
    <w:rsid w:val="00736230"/>
    <w:rsid w:val="00736453"/>
    <w:rsid w:val="00736485"/>
    <w:rsid w:val="00736626"/>
    <w:rsid w:val="007367A3"/>
    <w:rsid w:val="0073692B"/>
    <w:rsid w:val="00736C36"/>
    <w:rsid w:val="00737B3E"/>
    <w:rsid w:val="007401EA"/>
    <w:rsid w:val="00740719"/>
    <w:rsid w:val="00740B32"/>
    <w:rsid w:val="00740CB6"/>
    <w:rsid w:val="00741498"/>
    <w:rsid w:val="00741720"/>
    <w:rsid w:val="007418FC"/>
    <w:rsid w:val="007419EC"/>
    <w:rsid w:val="00741D11"/>
    <w:rsid w:val="00742015"/>
    <w:rsid w:val="007421D9"/>
    <w:rsid w:val="00742217"/>
    <w:rsid w:val="007427C7"/>
    <w:rsid w:val="00742A13"/>
    <w:rsid w:val="00742A63"/>
    <w:rsid w:val="007431CF"/>
    <w:rsid w:val="00743330"/>
    <w:rsid w:val="00743668"/>
    <w:rsid w:val="00743DE7"/>
    <w:rsid w:val="00743F45"/>
    <w:rsid w:val="00744368"/>
    <w:rsid w:val="007448FA"/>
    <w:rsid w:val="007449A4"/>
    <w:rsid w:val="00744DDE"/>
    <w:rsid w:val="00744E91"/>
    <w:rsid w:val="00745474"/>
    <w:rsid w:val="00745A2B"/>
    <w:rsid w:val="00745D3E"/>
    <w:rsid w:val="00745FB9"/>
    <w:rsid w:val="0074637D"/>
    <w:rsid w:val="00746594"/>
    <w:rsid w:val="007465E3"/>
    <w:rsid w:val="00746BC1"/>
    <w:rsid w:val="00746CB4"/>
    <w:rsid w:val="00747094"/>
    <w:rsid w:val="00747161"/>
    <w:rsid w:val="007503C6"/>
    <w:rsid w:val="00750540"/>
    <w:rsid w:val="007509D9"/>
    <w:rsid w:val="00750A12"/>
    <w:rsid w:val="00750CB3"/>
    <w:rsid w:val="00751126"/>
    <w:rsid w:val="00751214"/>
    <w:rsid w:val="0075126C"/>
    <w:rsid w:val="007513FE"/>
    <w:rsid w:val="00751617"/>
    <w:rsid w:val="00751AD9"/>
    <w:rsid w:val="00751C03"/>
    <w:rsid w:val="0075229F"/>
    <w:rsid w:val="007523F5"/>
    <w:rsid w:val="00752C42"/>
    <w:rsid w:val="00752E26"/>
    <w:rsid w:val="00753092"/>
    <w:rsid w:val="0075354E"/>
    <w:rsid w:val="0075415A"/>
    <w:rsid w:val="00754FA5"/>
    <w:rsid w:val="0075507F"/>
    <w:rsid w:val="007550B2"/>
    <w:rsid w:val="00755217"/>
    <w:rsid w:val="007554BB"/>
    <w:rsid w:val="00755562"/>
    <w:rsid w:val="00755605"/>
    <w:rsid w:val="00755637"/>
    <w:rsid w:val="00755B60"/>
    <w:rsid w:val="007562B4"/>
    <w:rsid w:val="007564E6"/>
    <w:rsid w:val="0075651F"/>
    <w:rsid w:val="007569FF"/>
    <w:rsid w:val="00756AD8"/>
    <w:rsid w:val="00756CF2"/>
    <w:rsid w:val="00756D00"/>
    <w:rsid w:val="00756F5F"/>
    <w:rsid w:val="007572AB"/>
    <w:rsid w:val="00757384"/>
    <w:rsid w:val="0076037E"/>
    <w:rsid w:val="00760400"/>
    <w:rsid w:val="0076074F"/>
    <w:rsid w:val="007607C1"/>
    <w:rsid w:val="007607CE"/>
    <w:rsid w:val="00760B2C"/>
    <w:rsid w:val="00760FF0"/>
    <w:rsid w:val="007612D1"/>
    <w:rsid w:val="00761446"/>
    <w:rsid w:val="00761454"/>
    <w:rsid w:val="00761D5A"/>
    <w:rsid w:val="007624C2"/>
    <w:rsid w:val="00762650"/>
    <w:rsid w:val="00763658"/>
    <w:rsid w:val="007637F7"/>
    <w:rsid w:val="00763CA8"/>
    <w:rsid w:val="00763D2C"/>
    <w:rsid w:val="00764256"/>
    <w:rsid w:val="00764271"/>
    <w:rsid w:val="007643B8"/>
    <w:rsid w:val="00764605"/>
    <w:rsid w:val="00764626"/>
    <w:rsid w:val="0076465B"/>
    <w:rsid w:val="00764898"/>
    <w:rsid w:val="0076492E"/>
    <w:rsid w:val="00764AC8"/>
    <w:rsid w:val="00764D55"/>
    <w:rsid w:val="00764D8D"/>
    <w:rsid w:val="00764E8C"/>
    <w:rsid w:val="00764EDC"/>
    <w:rsid w:val="00765267"/>
    <w:rsid w:val="00765436"/>
    <w:rsid w:val="007659A1"/>
    <w:rsid w:val="00765C1C"/>
    <w:rsid w:val="00766363"/>
    <w:rsid w:val="007663A9"/>
    <w:rsid w:val="0076657E"/>
    <w:rsid w:val="00766941"/>
    <w:rsid w:val="00766D6E"/>
    <w:rsid w:val="00767642"/>
    <w:rsid w:val="00767644"/>
    <w:rsid w:val="00767EE1"/>
    <w:rsid w:val="007704C2"/>
    <w:rsid w:val="00770885"/>
    <w:rsid w:val="007708EE"/>
    <w:rsid w:val="00770A04"/>
    <w:rsid w:val="00770E78"/>
    <w:rsid w:val="0077118E"/>
    <w:rsid w:val="0077175F"/>
    <w:rsid w:val="00771D89"/>
    <w:rsid w:val="00771E71"/>
    <w:rsid w:val="0077212D"/>
    <w:rsid w:val="0077274A"/>
    <w:rsid w:val="0077276F"/>
    <w:rsid w:val="00772AE0"/>
    <w:rsid w:val="0077325F"/>
    <w:rsid w:val="00773A07"/>
    <w:rsid w:val="00773E8D"/>
    <w:rsid w:val="0077426E"/>
    <w:rsid w:val="0077461C"/>
    <w:rsid w:val="007747D2"/>
    <w:rsid w:val="0077487C"/>
    <w:rsid w:val="00774C7B"/>
    <w:rsid w:val="00774E02"/>
    <w:rsid w:val="00775454"/>
    <w:rsid w:val="00775635"/>
    <w:rsid w:val="007756CB"/>
    <w:rsid w:val="0077573C"/>
    <w:rsid w:val="00775CC9"/>
    <w:rsid w:val="00776872"/>
    <w:rsid w:val="00776C00"/>
    <w:rsid w:val="00776FCF"/>
    <w:rsid w:val="00777469"/>
    <w:rsid w:val="0077783C"/>
    <w:rsid w:val="00777AAE"/>
    <w:rsid w:val="00777AC5"/>
    <w:rsid w:val="00777AE5"/>
    <w:rsid w:val="00777BFC"/>
    <w:rsid w:val="00780139"/>
    <w:rsid w:val="0078037B"/>
    <w:rsid w:val="007803A2"/>
    <w:rsid w:val="007803DB"/>
    <w:rsid w:val="00780767"/>
    <w:rsid w:val="00780837"/>
    <w:rsid w:val="0078093B"/>
    <w:rsid w:val="00780EAC"/>
    <w:rsid w:val="00781827"/>
    <w:rsid w:val="00781BD5"/>
    <w:rsid w:val="00782059"/>
    <w:rsid w:val="0078240C"/>
    <w:rsid w:val="00782E17"/>
    <w:rsid w:val="007830F8"/>
    <w:rsid w:val="0078311D"/>
    <w:rsid w:val="0078313E"/>
    <w:rsid w:val="00783B7A"/>
    <w:rsid w:val="00783DDF"/>
    <w:rsid w:val="00784027"/>
    <w:rsid w:val="007845EA"/>
    <w:rsid w:val="00784C3E"/>
    <w:rsid w:val="00785C6B"/>
    <w:rsid w:val="0078677D"/>
    <w:rsid w:val="0078684E"/>
    <w:rsid w:val="00786CD5"/>
    <w:rsid w:val="007871DC"/>
    <w:rsid w:val="007877EA"/>
    <w:rsid w:val="00787825"/>
    <w:rsid w:val="00787B21"/>
    <w:rsid w:val="00787C01"/>
    <w:rsid w:val="007900B7"/>
    <w:rsid w:val="0079031F"/>
    <w:rsid w:val="00790324"/>
    <w:rsid w:val="00790668"/>
    <w:rsid w:val="007906EA"/>
    <w:rsid w:val="007907D0"/>
    <w:rsid w:val="00790A3A"/>
    <w:rsid w:val="00790BDE"/>
    <w:rsid w:val="0079101A"/>
    <w:rsid w:val="00791368"/>
    <w:rsid w:val="0079137F"/>
    <w:rsid w:val="0079157F"/>
    <w:rsid w:val="0079182B"/>
    <w:rsid w:val="007919B9"/>
    <w:rsid w:val="00791D1F"/>
    <w:rsid w:val="00791D57"/>
    <w:rsid w:val="0079208B"/>
    <w:rsid w:val="007924CD"/>
    <w:rsid w:val="00792A42"/>
    <w:rsid w:val="00792E56"/>
    <w:rsid w:val="00792EA1"/>
    <w:rsid w:val="0079306D"/>
    <w:rsid w:val="00793076"/>
    <w:rsid w:val="00793AA7"/>
    <w:rsid w:val="00793AEF"/>
    <w:rsid w:val="00794725"/>
    <w:rsid w:val="00794F22"/>
    <w:rsid w:val="007953B5"/>
    <w:rsid w:val="00795623"/>
    <w:rsid w:val="00795791"/>
    <w:rsid w:val="00795845"/>
    <w:rsid w:val="007968B3"/>
    <w:rsid w:val="00796B24"/>
    <w:rsid w:val="00797316"/>
    <w:rsid w:val="00797394"/>
    <w:rsid w:val="00797923"/>
    <w:rsid w:val="0079798F"/>
    <w:rsid w:val="007A0D2C"/>
    <w:rsid w:val="007A0EAA"/>
    <w:rsid w:val="007A1035"/>
    <w:rsid w:val="007A11DD"/>
    <w:rsid w:val="007A15A0"/>
    <w:rsid w:val="007A17FE"/>
    <w:rsid w:val="007A1809"/>
    <w:rsid w:val="007A184A"/>
    <w:rsid w:val="007A1C12"/>
    <w:rsid w:val="007A1F79"/>
    <w:rsid w:val="007A27DA"/>
    <w:rsid w:val="007A2CA3"/>
    <w:rsid w:val="007A390E"/>
    <w:rsid w:val="007A3B48"/>
    <w:rsid w:val="007A3D84"/>
    <w:rsid w:val="007A3F3F"/>
    <w:rsid w:val="007A4189"/>
    <w:rsid w:val="007A4312"/>
    <w:rsid w:val="007A4607"/>
    <w:rsid w:val="007A47A1"/>
    <w:rsid w:val="007A4AF8"/>
    <w:rsid w:val="007A4B6B"/>
    <w:rsid w:val="007A5191"/>
    <w:rsid w:val="007A5238"/>
    <w:rsid w:val="007A548E"/>
    <w:rsid w:val="007A5D4E"/>
    <w:rsid w:val="007A6449"/>
    <w:rsid w:val="007A66A1"/>
    <w:rsid w:val="007A6BCC"/>
    <w:rsid w:val="007A6C37"/>
    <w:rsid w:val="007A6D54"/>
    <w:rsid w:val="007A7099"/>
    <w:rsid w:val="007A7155"/>
    <w:rsid w:val="007A75A3"/>
    <w:rsid w:val="007A799A"/>
    <w:rsid w:val="007A7E82"/>
    <w:rsid w:val="007A7F3E"/>
    <w:rsid w:val="007B03A0"/>
    <w:rsid w:val="007B0C42"/>
    <w:rsid w:val="007B13F5"/>
    <w:rsid w:val="007B1801"/>
    <w:rsid w:val="007B1815"/>
    <w:rsid w:val="007B1B96"/>
    <w:rsid w:val="007B1E6F"/>
    <w:rsid w:val="007B1E7B"/>
    <w:rsid w:val="007B2093"/>
    <w:rsid w:val="007B23B0"/>
    <w:rsid w:val="007B2556"/>
    <w:rsid w:val="007B2972"/>
    <w:rsid w:val="007B2CFD"/>
    <w:rsid w:val="007B2E6F"/>
    <w:rsid w:val="007B2EEE"/>
    <w:rsid w:val="007B3098"/>
    <w:rsid w:val="007B35DD"/>
    <w:rsid w:val="007B3C61"/>
    <w:rsid w:val="007B3EE4"/>
    <w:rsid w:val="007B41B8"/>
    <w:rsid w:val="007B450E"/>
    <w:rsid w:val="007B45F2"/>
    <w:rsid w:val="007B4AEE"/>
    <w:rsid w:val="007B4B37"/>
    <w:rsid w:val="007B4DA4"/>
    <w:rsid w:val="007B4DAF"/>
    <w:rsid w:val="007B4E43"/>
    <w:rsid w:val="007B503D"/>
    <w:rsid w:val="007B504D"/>
    <w:rsid w:val="007B5276"/>
    <w:rsid w:val="007B561D"/>
    <w:rsid w:val="007B5730"/>
    <w:rsid w:val="007B5AAF"/>
    <w:rsid w:val="007B5E2E"/>
    <w:rsid w:val="007B6241"/>
    <w:rsid w:val="007B65A0"/>
    <w:rsid w:val="007B6690"/>
    <w:rsid w:val="007B66BE"/>
    <w:rsid w:val="007B6857"/>
    <w:rsid w:val="007B6914"/>
    <w:rsid w:val="007B6D5B"/>
    <w:rsid w:val="007B7050"/>
    <w:rsid w:val="007B7128"/>
    <w:rsid w:val="007B7527"/>
    <w:rsid w:val="007C0116"/>
    <w:rsid w:val="007C0192"/>
    <w:rsid w:val="007C02EF"/>
    <w:rsid w:val="007C038A"/>
    <w:rsid w:val="007C0B95"/>
    <w:rsid w:val="007C0D60"/>
    <w:rsid w:val="007C10EF"/>
    <w:rsid w:val="007C14F2"/>
    <w:rsid w:val="007C16C8"/>
    <w:rsid w:val="007C1BEE"/>
    <w:rsid w:val="007C2474"/>
    <w:rsid w:val="007C2CA6"/>
    <w:rsid w:val="007C2F8E"/>
    <w:rsid w:val="007C30A8"/>
    <w:rsid w:val="007C3630"/>
    <w:rsid w:val="007C36C6"/>
    <w:rsid w:val="007C4134"/>
    <w:rsid w:val="007C4AD2"/>
    <w:rsid w:val="007C4CD7"/>
    <w:rsid w:val="007C4D38"/>
    <w:rsid w:val="007C54D2"/>
    <w:rsid w:val="007C563F"/>
    <w:rsid w:val="007C5768"/>
    <w:rsid w:val="007C5796"/>
    <w:rsid w:val="007C5A08"/>
    <w:rsid w:val="007C630B"/>
    <w:rsid w:val="007C64AB"/>
    <w:rsid w:val="007C6751"/>
    <w:rsid w:val="007C6EF6"/>
    <w:rsid w:val="007C72F5"/>
    <w:rsid w:val="007C7900"/>
    <w:rsid w:val="007C7AE9"/>
    <w:rsid w:val="007D00F3"/>
    <w:rsid w:val="007D0485"/>
    <w:rsid w:val="007D06F7"/>
    <w:rsid w:val="007D0748"/>
    <w:rsid w:val="007D07F9"/>
    <w:rsid w:val="007D1009"/>
    <w:rsid w:val="007D1250"/>
    <w:rsid w:val="007D1363"/>
    <w:rsid w:val="007D1F8A"/>
    <w:rsid w:val="007D22EA"/>
    <w:rsid w:val="007D2433"/>
    <w:rsid w:val="007D2A57"/>
    <w:rsid w:val="007D2E4D"/>
    <w:rsid w:val="007D35C2"/>
    <w:rsid w:val="007D39FF"/>
    <w:rsid w:val="007D3AFD"/>
    <w:rsid w:val="007D5031"/>
    <w:rsid w:val="007D523F"/>
    <w:rsid w:val="007D58E2"/>
    <w:rsid w:val="007D6A4A"/>
    <w:rsid w:val="007D77CA"/>
    <w:rsid w:val="007D781F"/>
    <w:rsid w:val="007D7978"/>
    <w:rsid w:val="007D7EA0"/>
    <w:rsid w:val="007D7FFC"/>
    <w:rsid w:val="007E0019"/>
    <w:rsid w:val="007E03E7"/>
    <w:rsid w:val="007E0920"/>
    <w:rsid w:val="007E1238"/>
    <w:rsid w:val="007E15C4"/>
    <w:rsid w:val="007E1652"/>
    <w:rsid w:val="007E17D0"/>
    <w:rsid w:val="007E1E92"/>
    <w:rsid w:val="007E2213"/>
    <w:rsid w:val="007E24CD"/>
    <w:rsid w:val="007E28C5"/>
    <w:rsid w:val="007E2BD0"/>
    <w:rsid w:val="007E2DB4"/>
    <w:rsid w:val="007E2F99"/>
    <w:rsid w:val="007E3152"/>
    <w:rsid w:val="007E33FA"/>
    <w:rsid w:val="007E3C09"/>
    <w:rsid w:val="007E4219"/>
    <w:rsid w:val="007E428D"/>
    <w:rsid w:val="007E433D"/>
    <w:rsid w:val="007E4469"/>
    <w:rsid w:val="007E489B"/>
    <w:rsid w:val="007E499A"/>
    <w:rsid w:val="007E4A9C"/>
    <w:rsid w:val="007E4BDA"/>
    <w:rsid w:val="007E5334"/>
    <w:rsid w:val="007E55F3"/>
    <w:rsid w:val="007E56E9"/>
    <w:rsid w:val="007E5870"/>
    <w:rsid w:val="007E5F22"/>
    <w:rsid w:val="007E6114"/>
    <w:rsid w:val="007E6177"/>
    <w:rsid w:val="007E6987"/>
    <w:rsid w:val="007E6C84"/>
    <w:rsid w:val="007E6CCA"/>
    <w:rsid w:val="007E6F11"/>
    <w:rsid w:val="007E7B52"/>
    <w:rsid w:val="007F0002"/>
    <w:rsid w:val="007F08AE"/>
    <w:rsid w:val="007F099D"/>
    <w:rsid w:val="007F0E01"/>
    <w:rsid w:val="007F1255"/>
    <w:rsid w:val="007F1523"/>
    <w:rsid w:val="007F159C"/>
    <w:rsid w:val="007F20E2"/>
    <w:rsid w:val="007F2256"/>
    <w:rsid w:val="007F29BC"/>
    <w:rsid w:val="007F2B54"/>
    <w:rsid w:val="007F2E0D"/>
    <w:rsid w:val="007F325C"/>
    <w:rsid w:val="007F3BDE"/>
    <w:rsid w:val="007F3CE6"/>
    <w:rsid w:val="007F3E14"/>
    <w:rsid w:val="007F412A"/>
    <w:rsid w:val="007F41E9"/>
    <w:rsid w:val="007F4403"/>
    <w:rsid w:val="007F448E"/>
    <w:rsid w:val="007F4967"/>
    <w:rsid w:val="007F499C"/>
    <w:rsid w:val="007F4A12"/>
    <w:rsid w:val="007F59B4"/>
    <w:rsid w:val="007F5A5E"/>
    <w:rsid w:val="007F5ABD"/>
    <w:rsid w:val="007F63E3"/>
    <w:rsid w:val="007F64F0"/>
    <w:rsid w:val="007F691E"/>
    <w:rsid w:val="007F6AF5"/>
    <w:rsid w:val="007F6B7B"/>
    <w:rsid w:val="007F6C32"/>
    <w:rsid w:val="007F6D72"/>
    <w:rsid w:val="007F6D92"/>
    <w:rsid w:val="007F6D9A"/>
    <w:rsid w:val="007F6E9B"/>
    <w:rsid w:val="007F73AE"/>
    <w:rsid w:val="007F73B3"/>
    <w:rsid w:val="007F73B5"/>
    <w:rsid w:val="007F751A"/>
    <w:rsid w:val="007F7A6B"/>
    <w:rsid w:val="007F7AA6"/>
    <w:rsid w:val="007F7BA4"/>
    <w:rsid w:val="007F7DA9"/>
    <w:rsid w:val="00800357"/>
    <w:rsid w:val="0080075A"/>
    <w:rsid w:val="0080085D"/>
    <w:rsid w:val="00800C52"/>
    <w:rsid w:val="008013B5"/>
    <w:rsid w:val="0080141C"/>
    <w:rsid w:val="0080178E"/>
    <w:rsid w:val="0080197B"/>
    <w:rsid w:val="00801EA1"/>
    <w:rsid w:val="0080225A"/>
    <w:rsid w:val="00802313"/>
    <w:rsid w:val="00802B46"/>
    <w:rsid w:val="00802F2D"/>
    <w:rsid w:val="008033F2"/>
    <w:rsid w:val="0080347C"/>
    <w:rsid w:val="008035BF"/>
    <w:rsid w:val="00803835"/>
    <w:rsid w:val="00803909"/>
    <w:rsid w:val="00803EE8"/>
    <w:rsid w:val="00803F9F"/>
    <w:rsid w:val="008040A1"/>
    <w:rsid w:val="00804863"/>
    <w:rsid w:val="00804A74"/>
    <w:rsid w:val="00804DD9"/>
    <w:rsid w:val="008052B1"/>
    <w:rsid w:val="0080600E"/>
    <w:rsid w:val="00806310"/>
    <w:rsid w:val="0080700B"/>
    <w:rsid w:val="0080717F"/>
    <w:rsid w:val="0080722D"/>
    <w:rsid w:val="00807340"/>
    <w:rsid w:val="008074F7"/>
    <w:rsid w:val="00807E8A"/>
    <w:rsid w:val="0081013F"/>
    <w:rsid w:val="00810174"/>
    <w:rsid w:val="0081054C"/>
    <w:rsid w:val="00810AF6"/>
    <w:rsid w:val="00810DAB"/>
    <w:rsid w:val="00810F7C"/>
    <w:rsid w:val="008114B9"/>
    <w:rsid w:val="00811F50"/>
    <w:rsid w:val="00811F72"/>
    <w:rsid w:val="00812081"/>
    <w:rsid w:val="00812222"/>
    <w:rsid w:val="0081285A"/>
    <w:rsid w:val="00812DE1"/>
    <w:rsid w:val="00812E01"/>
    <w:rsid w:val="0081318D"/>
    <w:rsid w:val="0081353C"/>
    <w:rsid w:val="008135AD"/>
    <w:rsid w:val="00813639"/>
    <w:rsid w:val="00813A04"/>
    <w:rsid w:val="0081422B"/>
    <w:rsid w:val="0081423B"/>
    <w:rsid w:val="008145F8"/>
    <w:rsid w:val="0081485B"/>
    <w:rsid w:val="00814FE5"/>
    <w:rsid w:val="008154D8"/>
    <w:rsid w:val="00815968"/>
    <w:rsid w:val="00815D2F"/>
    <w:rsid w:val="00815DAA"/>
    <w:rsid w:val="00816118"/>
    <w:rsid w:val="008164D7"/>
    <w:rsid w:val="008168CD"/>
    <w:rsid w:val="00816A85"/>
    <w:rsid w:val="00816BCA"/>
    <w:rsid w:val="00816CB3"/>
    <w:rsid w:val="00816DC9"/>
    <w:rsid w:val="0081751C"/>
    <w:rsid w:val="00817A30"/>
    <w:rsid w:val="00817C95"/>
    <w:rsid w:val="00817EBE"/>
    <w:rsid w:val="00820154"/>
    <w:rsid w:val="008204E2"/>
    <w:rsid w:val="00821492"/>
    <w:rsid w:val="0082162E"/>
    <w:rsid w:val="00821F60"/>
    <w:rsid w:val="00822094"/>
    <w:rsid w:val="0082268A"/>
    <w:rsid w:val="00822E86"/>
    <w:rsid w:val="00823014"/>
    <w:rsid w:val="00823249"/>
    <w:rsid w:val="00823343"/>
    <w:rsid w:val="008236CA"/>
    <w:rsid w:val="008237C9"/>
    <w:rsid w:val="00823C19"/>
    <w:rsid w:val="00823D6B"/>
    <w:rsid w:val="00823EDF"/>
    <w:rsid w:val="00823FBE"/>
    <w:rsid w:val="0082480A"/>
    <w:rsid w:val="00824AEA"/>
    <w:rsid w:val="0082544D"/>
    <w:rsid w:val="008254A8"/>
    <w:rsid w:val="00825868"/>
    <w:rsid w:val="00825BC4"/>
    <w:rsid w:val="00825FD9"/>
    <w:rsid w:val="00826664"/>
    <w:rsid w:val="008266F4"/>
    <w:rsid w:val="00826896"/>
    <w:rsid w:val="00826916"/>
    <w:rsid w:val="00826B6A"/>
    <w:rsid w:val="00826DEB"/>
    <w:rsid w:val="00827491"/>
    <w:rsid w:val="0082750C"/>
    <w:rsid w:val="00827514"/>
    <w:rsid w:val="00827984"/>
    <w:rsid w:val="00827A21"/>
    <w:rsid w:val="00827B81"/>
    <w:rsid w:val="00827C0F"/>
    <w:rsid w:val="00827C2C"/>
    <w:rsid w:val="00827E17"/>
    <w:rsid w:val="00831717"/>
    <w:rsid w:val="00831917"/>
    <w:rsid w:val="00831D34"/>
    <w:rsid w:val="00832428"/>
    <w:rsid w:val="00832460"/>
    <w:rsid w:val="008331FE"/>
    <w:rsid w:val="00833391"/>
    <w:rsid w:val="00833748"/>
    <w:rsid w:val="00834010"/>
    <w:rsid w:val="00834600"/>
    <w:rsid w:val="008348BA"/>
    <w:rsid w:val="008349C2"/>
    <w:rsid w:val="00834AA5"/>
    <w:rsid w:val="00834F63"/>
    <w:rsid w:val="0083541E"/>
    <w:rsid w:val="00835944"/>
    <w:rsid w:val="00835968"/>
    <w:rsid w:val="008360FE"/>
    <w:rsid w:val="00836827"/>
    <w:rsid w:val="00836927"/>
    <w:rsid w:val="00836CF7"/>
    <w:rsid w:val="008370FD"/>
    <w:rsid w:val="0083717B"/>
    <w:rsid w:val="00837299"/>
    <w:rsid w:val="00837A9F"/>
    <w:rsid w:val="00837AAE"/>
    <w:rsid w:val="0084010E"/>
    <w:rsid w:val="00840160"/>
    <w:rsid w:val="008409F3"/>
    <w:rsid w:val="00840E1B"/>
    <w:rsid w:val="0084123F"/>
    <w:rsid w:val="00841945"/>
    <w:rsid w:val="0084196C"/>
    <w:rsid w:val="0084203E"/>
    <w:rsid w:val="00842225"/>
    <w:rsid w:val="0084225B"/>
    <w:rsid w:val="008428B7"/>
    <w:rsid w:val="00843006"/>
    <w:rsid w:val="00843AF9"/>
    <w:rsid w:val="00843FB7"/>
    <w:rsid w:val="00844138"/>
    <w:rsid w:val="008444D9"/>
    <w:rsid w:val="0084483D"/>
    <w:rsid w:val="00844B36"/>
    <w:rsid w:val="00844EB5"/>
    <w:rsid w:val="008452EA"/>
    <w:rsid w:val="00845D59"/>
    <w:rsid w:val="00845F4E"/>
    <w:rsid w:val="0084660D"/>
    <w:rsid w:val="008467C7"/>
    <w:rsid w:val="008467F7"/>
    <w:rsid w:val="00846803"/>
    <w:rsid w:val="00846E3D"/>
    <w:rsid w:val="008474B0"/>
    <w:rsid w:val="0084767A"/>
    <w:rsid w:val="00847839"/>
    <w:rsid w:val="008478AA"/>
    <w:rsid w:val="00847A49"/>
    <w:rsid w:val="00847CED"/>
    <w:rsid w:val="00850986"/>
    <w:rsid w:val="008509DD"/>
    <w:rsid w:val="008509E1"/>
    <w:rsid w:val="00851460"/>
    <w:rsid w:val="00851902"/>
    <w:rsid w:val="00851AA2"/>
    <w:rsid w:val="00851AAE"/>
    <w:rsid w:val="00852005"/>
    <w:rsid w:val="00852780"/>
    <w:rsid w:val="008527C4"/>
    <w:rsid w:val="00852AA8"/>
    <w:rsid w:val="00852E0D"/>
    <w:rsid w:val="0085395E"/>
    <w:rsid w:val="008539FA"/>
    <w:rsid w:val="00853B5C"/>
    <w:rsid w:val="00853E30"/>
    <w:rsid w:val="00854032"/>
    <w:rsid w:val="00854387"/>
    <w:rsid w:val="0085455B"/>
    <w:rsid w:val="00854D10"/>
    <w:rsid w:val="00855F68"/>
    <w:rsid w:val="0085651D"/>
    <w:rsid w:val="0085652F"/>
    <w:rsid w:val="0085667C"/>
    <w:rsid w:val="008569BA"/>
    <w:rsid w:val="00856A51"/>
    <w:rsid w:val="00856C86"/>
    <w:rsid w:val="008572F5"/>
    <w:rsid w:val="008573B4"/>
    <w:rsid w:val="00857A6A"/>
    <w:rsid w:val="00857BD1"/>
    <w:rsid w:val="00860585"/>
    <w:rsid w:val="00860652"/>
    <w:rsid w:val="00860904"/>
    <w:rsid w:val="00860B7A"/>
    <w:rsid w:val="00860D59"/>
    <w:rsid w:val="00860DB7"/>
    <w:rsid w:val="0086131F"/>
    <w:rsid w:val="008614FB"/>
    <w:rsid w:val="00861D15"/>
    <w:rsid w:val="00861EDD"/>
    <w:rsid w:val="00861FC0"/>
    <w:rsid w:val="00862266"/>
    <w:rsid w:val="0086227B"/>
    <w:rsid w:val="008623D0"/>
    <w:rsid w:val="0086262A"/>
    <w:rsid w:val="00862A05"/>
    <w:rsid w:val="008630FC"/>
    <w:rsid w:val="00863263"/>
    <w:rsid w:val="0086327F"/>
    <w:rsid w:val="008638AC"/>
    <w:rsid w:val="008641D8"/>
    <w:rsid w:val="0086428A"/>
    <w:rsid w:val="0086510B"/>
    <w:rsid w:val="0086537F"/>
    <w:rsid w:val="008654E0"/>
    <w:rsid w:val="00865BBB"/>
    <w:rsid w:val="00865E6E"/>
    <w:rsid w:val="00865EB7"/>
    <w:rsid w:val="00865FDC"/>
    <w:rsid w:val="008665F7"/>
    <w:rsid w:val="00866F0D"/>
    <w:rsid w:val="008671DB"/>
    <w:rsid w:val="008673C0"/>
    <w:rsid w:val="008675DC"/>
    <w:rsid w:val="00867C88"/>
    <w:rsid w:val="00867C92"/>
    <w:rsid w:val="00867E2E"/>
    <w:rsid w:val="0087020A"/>
    <w:rsid w:val="008704A0"/>
    <w:rsid w:val="00870A2E"/>
    <w:rsid w:val="00870B1A"/>
    <w:rsid w:val="0087255C"/>
    <w:rsid w:val="008728D6"/>
    <w:rsid w:val="008729AC"/>
    <w:rsid w:val="00872B6E"/>
    <w:rsid w:val="00872F2D"/>
    <w:rsid w:val="00872FF4"/>
    <w:rsid w:val="00873139"/>
    <w:rsid w:val="0087315B"/>
    <w:rsid w:val="008731EB"/>
    <w:rsid w:val="00873268"/>
    <w:rsid w:val="008733C5"/>
    <w:rsid w:val="008735A0"/>
    <w:rsid w:val="00873655"/>
    <w:rsid w:val="00873BA1"/>
    <w:rsid w:val="00874234"/>
    <w:rsid w:val="00874482"/>
    <w:rsid w:val="00874BA5"/>
    <w:rsid w:val="00874D4C"/>
    <w:rsid w:val="008752A3"/>
    <w:rsid w:val="00875A57"/>
    <w:rsid w:val="00875C3F"/>
    <w:rsid w:val="00875E2F"/>
    <w:rsid w:val="00875FD3"/>
    <w:rsid w:val="0087603D"/>
    <w:rsid w:val="00876465"/>
    <w:rsid w:val="008765B5"/>
    <w:rsid w:val="00876857"/>
    <w:rsid w:val="00876B58"/>
    <w:rsid w:val="00876C1C"/>
    <w:rsid w:val="008770D7"/>
    <w:rsid w:val="00877187"/>
    <w:rsid w:val="008775A9"/>
    <w:rsid w:val="008775ED"/>
    <w:rsid w:val="0087779B"/>
    <w:rsid w:val="00877814"/>
    <w:rsid w:val="00877D07"/>
    <w:rsid w:val="00877FE2"/>
    <w:rsid w:val="00880014"/>
    <w:rsid w:val="00880481"/>
    <w:rsid w:val="0088053D"/>
    <w:rsid w:val="00880949"/>
    <w:rsid w:val="008811B5"/>
    <w:rsid w:val="008811E0"/>
    <w:rsid w:val="00881626"/>
    <w:rsid w:val="00881BCB"/>
    <w:rsid w:val="00881E86"/>
    <w:rsid w:val="00881F71"/>
    <w:rsid w:val="008821ED"/>
    <w:rsid w:val="008824D4"/>
    <w:rsid w:val="0088272C"/>
    <w:rsid w:val="008828F3"/>
    <w:rsid w:val="00882A7A"/>
    <w:rsid w:val="00882F04"/>
    <w:rsid w:val="0088361C"/>
    <w:rsid w:val="00883AB0"/>
    <w:rsid w:val="00883C2B"/>
    <w:rsid w:val="00883C6D"/>
    <w:rsid w:val="00884000"/>
    <w:rsid w:val="00884608"/>
    <w:rsid w:val="008849C1"/>
    <w:rsid w:val="00884F2C"/>
    <w:rsid w:val="00885168"/>
    <w:rsid w:val="00885397"/>
    <w:rsid w:val="008856D0"/>
    <w:rsid w:val="00885BB9"/>
    <w:rsid w:val="00886215"/>
    <w:rsid w:val="0088635B"/>
    <w:rsid w:val="00886548"/>
    <w:rsid w:val="00886AB1"/>
    <w:rsid w:val="00886CA7"/>
    <w:rsid w:val="00886D13"/>
    <w:rsid w:val="008871C5"/>
    <w:rsid w:val="0088732A"/>
    <w:rsid w:val="00887626"/>
    <w:rsid w:val="00887A16"/>
    <w:rsid w:val="00887EE9"/>
    <w:rsid w:val="00890110"/>
    <w:rsid w:val="0089019D"/>
    <w:rsid w:val="0089019E"/>
    <w:rsid w:val="00890496"/>
    <w:rsid w:val="00890AC0"/>
    <w:rsid w:val="008914FB"/>
    <w:rsid w:val="00891A8A"/>
    <w:rsid w:val="00892359"/>
    <w:rsid w:val="0089274E"/>
    <w:rsid w:val="0089283A"/>
    <w:rsid w:val="008928D4"/>
    <w:rsid w:val="00892AE0"/>
    <w:rsid w:val="00892C79"/>
    <w:rsid w:val="00892E31"/>
    <w:rsid w:val="0089346D"/>
    <w:rsid w:val="008934EE"/>
    <w:rsid w:val="00893A89"/>
    <w:rsid w:val="00893ABC"/>
    <w:rsid w:val="00894474"/>
    <w:rsid w:val="00894659"/>
    <w:rsid w:val="00894A81"/>
    <w:rsid w:val="00894D5E"/>
    <w:rsid w:val="00895144"/>
    <w:rsid w:val="00895501"/>
    <w:rsid w:val="00895937"/>
    <w:rsid w:val="00896081"/>
    <w:rsid w:val="0089627E"/>
    <w:rsid w:val="0089642C"/>
    <w:rsid w:val="008967F7"/>
    <w:rsid w:val="00897192"/>
    <w:rsid w:val="00897720"/>
    <w:rsid w:val="00897761"/>
    <w:rsid w:val="008977C8"/>
    <w:rsid w:val="00897CE7"/>
    <w:rsid w:val="008A004A"/>
    <w:rsid w:val="008A0B75"/>
    <w:rsid w:val="008A0C6D"/>
    <w:rsid w:val="008A12A5"/>
    <w:rsid w:val="008A1787"/>
    <w:rsid w:val="008A17E8"/>
    <w:rsid w:val="008A18DE"/>
    <w:rsid w:val="008A1C06"/>
    <w:rsid w:val="008A1C58"/>
    <w:rsid w:val="008A1D7E"/>
    <w:rsid w:val="008A20B2"/>
    <w:rsid w:val="008A2281"/>
    <w:rsid w:val="008A2337"/>
    <w:rsid w:val="008A23C6"/>
    <w:rsid w:val="008A28E1"/>
    <w:rsid w:val="008A2A4C"/>
    <w:rsid w:val="008A2A76"/>
    <w:rsid w:val="008A2BE4"/>
    <w:rsid w:val="008A2F73"/>
    <w:rsid w:val="008A2FAA"/>
    <w:rsid w:val="008A3478"/>
    <w:rsid w:val="008A34D8"/>
    <w:rsid w:val="008A35A5"/>
    <w:rsid w:val="008A35B3"/>
    <w:rsid w:val="008A3742"/>
    <w:rsid w:val="008A3B6B"/>
    <w:rsid w:val="008A3B77"/>
    <w:rsid w:val="008A3F67"/>
    <w:rsid w:val="008A4075"/>
    <w:rsid w:val="008A4328"/>
    <w:rsid w:val="008A479A"/>
    <w:rsid w:val="008A4CC0"/>
    <w:rsid w:val="008A5488"/>
    <w:rsid w:val="008A5923"/>
    <w:rsid w:val="008A59A1"/>
    <w:rsid w:val="008A5B84"/>
    <w:rsid w:val="008A5DBA"/>
    <w:rsid w:val="008A5DDE"/>
    <w:rsid w:val="008A5F09"/>
    <w:rsid w:val="008A6263"/>
    <w:rsid w:val="008A664C"/>
    <w:rsid w:val="008A686E"/>
    <w:rsid w:val="008A6C29"/>
    <w:rsid w:val="008A6C67"/>
    <w:rsid w:val="008A6F20"/>
    <w:rsid w:val="008A6F40"/>
    <w:rsid w:val="008A6F60"/>
    <w:rsid w:val="008A73D4"/>
    <w:rsid w:val="008A76D7"/>
    <w:rsid w:val="008A7B54"/>
    <w:rsid w:val="008B0405"/>
    <w:rsid w:val="008B071A"/>
    <w:rsid w:val="008B09EE"/>
    <w:rsid w:val="008B0B8A"/>
    <w:rsid w:val="008B0FFA"/>
    <w:rsid w:val="008B1038"/>
    <w:rsid w:val="008B17F6"/>
    <w:rsid w:val="008B17F8"/>
    <w:rsid w:val="008B222D"/>
    <w:rsid w:val="008B252F"/>
    <w:rsid w:val="008B2597"/>
    <w:rsid w:val="008B26BC"/>
    <w:rsid w:val="008B2BCD"/>
    <w:rsid w:val="008B2D3B"/>
    <w:rsid w:val="008B2D3F"/>
    <w:rsid w:val="008B3273"/>
    <w:rsid w:val="008B34C4"/>
    <w:rsid w:val="008B3CB3"/>
    <w:rsid w:val="008B3D68"/>
    <w:rsid w:val="008B4321"/>
    <w:rsid w:val="008B4857"/>
    <w:rsid w:val="008B4A39"/>
    <w:rsid w:val="008B4BDC"/>
    <w:rsid w:val="008B53B2"/>
    <w:rsid w:val="008B56D5"/>
    <w:rsid w:val="008B5A59"/>
    <w:rsid w:val="008B5B24"/>
    <w:rsid w:val="008B5E87"/>
    <w:rsid w:val="008B5F9C"/>
    <w:rsid w:val="008B649F"/>
    <w:rsid w:val="008B6C5D"/>
    <w:rsid w:val="008B74EB"/>
    <w:rsid w:val="008B7609"/>
    <w:rsid w:val="008B76C0"/>
    <w:rsid w:val="008B7737"/>
    <w:rsid w:val="008B7871"/>
    <w:rsid w:val="008B7CA6"/>
    <w:rsid w:val="008C017B"/>
    <w:rsid w:val="008C0835"/>
    <w:rsid w:val="008C0F6C"/>
    <w:rsid w:val="008C1045"/>
    <w:rsid w:val="008C1151"/>
    <w:rsid w:val="008C129B"/>
    <w:rsid w:val="008C12A6"/>
    <w:rsid w:val="008C17D8"/>
    <w:rsid w:val="008C1C52"/>
    <w:rsid w:val="008C1E61"/>
    <w:rsid w:val="008C2087"/>
    <w:rsid w:val="008C2416"/>
    <w:rsid w:val="008C26EF"/>
    <w:rsid w:val="008C3101"/>
    <w:rsid w:val="008C32DD"/>
    <w:rsid w:val="008C32EA"/>
    <w:rsid w:val="008C3486"/>
    <w:rsid w:val="008C37F8"/>
    <w:rsid w:val="008C3AAA"/>
    <w:rsid w:val="008C3E8A"/>
    <w:rsid w:val="008C469A"/>
    <w:rsid w:val="008C49B9"/>
    <w:rsid w:val="008C4D61"/>
    <w:rsid w:val="008C559C"/>
    <w:rsid w:val="008C5729"/>
    <w:rsid w:val="008C57F1"/>
    <w:rsid w:val="008C5910"/>
    <w:rsid w:val="008C5C71"/>
    <w:rsid w:val="008C605C"/>
    <w:rsid w:val="008C67E1"/>
    <w:rsid w:val="008C6D79"/>
    <w:rsid w:val="008C6FEA"/>
    <w:rsid w:val="008C73C9"/>
    <w:rsid w:val="008C7764"/>
    <w:rsid w:val="008C7A97"/>
    <w:rsid w:val="008C7BC8"/>
    <w:rsid w:val="008D0420"/>
    <w:rsid w:val="008D0697"/>
    <w:rsid w:val="008D077C"/>
    <w:rsid w:val="008D17C1"/>
    <w:rsid w:val="008D1815"/>
    <w:rsid w:val="008D1B7C"/>
    <w:rsid w:val="008D2710"/>
    <w:rsid w:val="008D2AA8"/>
    <w:rsid w:val="008D2B9B"/>
    <w:rsid w:val="008D384C"/>
    <w:rsid w:val="008D38CD"/>
    <w:rsid w:val="008D3CE4"/>
    <w:rsid w:val="008D3E75"/>
    <w:rsid w:val="008D4A75"/>
    <w:rsid w:val="008D4B03"/>
    <w:rsid w:val="008D4BF7"/>
    <w:rsid w:val="008D4ED8"/>
    <w:rsid w:val="008D51FF"/>
    <w:rsid w:val="008D54C6"/>
    <w:rsid w:val="008D56CC"/>
    <w:rsid w:val="008D57C2"/>
    <w:rsid w:val="008D594D"/>
    <w:rsid w:val="008D5970"/>
    <w:rsid w:val="008D5CE7"/>
    <w:rsid w:val="008D675F"/>
    <w:rsid w:val="008D6D73"/>
    <w:rsid w:val="008D6EAA"/>
    <w:rsid w:val="008D7121"/>
    <w:rsid w:val="008D72C4"/>
    <w:rsid w:val="008E00A7"/>
    <w:rsid w:val="008E066F"/>
    <w:rsid w:val="008E10F4"/>
    <w:rsid w:val="008E11B9"/>
    <w:rsid w:val="008E1537"/>
    <w:rsid w:val="008E15BD"/>
    <w:rsid w:val="008E2571"/>
    <w:rsid w:val="008E3256"/>
    <w:rsid w:val="008E3460"/>
    <w:rsid w:val="008E3760"/>
    <w:rsid w:val="008E37D5"/>
    <w:rsid w:val="008E37D6"/>
    <w:rsid w:val="008E3BB5"/>
    <w:rsid w:val="008E433F"/>
    <w:rsid w:val="008E4AD1"/>
    <w:rsid w:val="008E4E42"/>
    <w:rsid w:val="008E4FD3"/>
    <w:rsid w:val="008E5237"/>
    <w:rsid w:val="008E5AAC"/>
    <w:rsid w:val="008E5CE5"/>
    <w:rsid w:val="008E60DA"/>
    <w:rsid w:val="008E63FF"/>
    <w:rsid w:val="008E6521"/>
    <w:rsid w:val="008E688C"/>
    <w:rsid w:val="008E6962"/>
    <w:rsid w:val="008E6A2A"/>
    <w:rsid w:val="008E6CB3"/>
    <w:rsid w:val="008E73E3"/>
    <w:rsid w:val="008E76FD"/>
    <w:rsid w:val="008F026A"/>
    <w:rsid w:val="008F05A3"/>
    <w:rsid w:val="008F06BC"/>
    <w:rsid w:val="008F0737"/>
    <w:rsid w:val="008F0F0A"/>
    <w:rsid w:val="008F1147"/>
    <w:rsid w:val="008F11B3"/>
    <w:rsid w:val="008F1606"/>
    <w:rsid w:val="008F1C2E"/>
    <w:rsid w:val="008F1E1E"/>
    <w:rsid w:val="008F1ECE"/>
    <w:rsid w:val="008F2016"/>
    <w:rsid w:val="008F2B37"/>
    <w:rsid w:val="008F2E35"/>
    <w:rsid w:val="008F3034"/>
    <w:rsid w:val="008F3126"/>
    <w:rsid w:val="008F312F"/>
    <w:rsid w:val="008F318F"/>
    <w:rsid w:val="008F330C"/>
    <w:rsid w:val="008F3699"/>
    <w:rsid w:val="008F39DD"/>
    <w:rsid w:val="008F3CDC"/>
    <w:rsid w:val="008F3D95"/>
    <w:rsid w:val="008F404D"/>
    <w:rsid w:val="008F425A"/>
    <w:rsid w:val="008F4491"/>
    <w:rsid w:val="008F494B"/>
    <w:rsid w:val="008F4DD9"/>
    <w:rsid w:val="008F4F48"/>
    <w:rsid w:val="008F5B11"/>
    <w:rsid w:val="008F5C3A"/>
    <w:rsid w:val="008F5DEB"/>
    <w:rsid w:val="008F694C"/>
    <w:rsid w:val="008F69FC"/>
    <w:rsid w:val="008F6C64"/>
    <w:rsid w:val="008F6E99"/>
    <w:rsid w:val="008F6FA5"/>
    <w:rsid w:val="008F7303"/>
    <w:rsid w:val="008F791C"/>
    <w:rsid w:val="008F792E"/>
    <w:rsid w:val="008F7D7B"/>
    <w:rsid w:val="00900526"/>
    <w:rsid w:val="009007F4"/>
    <w:rsid w:val="00900E34"/>
    <w:rsid w:val="009012DB"/>
    <w:rsid w:val="00901337"/>
    <w:rsid w:val="009014A8"/>
    <w:rsid w:val="009018DA"/>
    <w:rsid w:val="00901D3B"/>
    <w:rsid w:val="00901DC1"/>
    <w:rsid w:val="00901FEB"/>
    <w:rsid w:val="009026D9"/>
    <w:rsid w:val="00902C01"/>
    <w:rsid w:val="009033EF"/>
    <w:rsid w:val="009035BA"/>
    <w:rsid w:val="00903CE8"/>
    <w:rsid w:val="00903F3E"/>
    <w:rsid w:val="00904317"/>
    <w:rsid w:val="00904509"/>
    <w:rsid w:val="00904937"/>
    <w:rsid w:val="00904A8B"/>
    <w:rsid w:val="00904B0F"/>
    <w:rsid w:val="00904B24"/>
    <w:rsid w:val="009050DD"/>
    <w:rsid w:val="009050F8"/>
    <w:rsid w:val="0090589C"/>
    <w:rsid w:val="0090597C"/>
    <w:rsid w:val="00906093"/>
    <w:rsid w:val="009061F3"/>
    <w:rsid w:val="009066F7"/>
    <w:rsid w:val="0090690E"/>
    <w:rsid w:val="00906A39"/>
    <w:rsid w:val="00906B56"/>
    <w:rsid w:val="00906BA6"/>
    <w:rsid w:val="00906C08"/>
    <w:rsid w:val="00906FC0"/>
    <w:rsid w:val="00907019"/>
    <w:rsid w:val="00907316"/>
    <w:rsid w:val="009078FD"/>
    <w:rsid w:val="00907D11"/>
    <w:rsid w:val="00907FD6"/>
    <w:rsid w:val="009101BE"/>
    <w:rsid w:val="00910AD2"/>
    <w:rsid w:val="00910BE2"/>
    <w:rsid w:val="00910D11"/>
    <w:rsid w:val="0091141D"/>
    <w:rsid w:val="009118F7"/>
    <w:rsid w:val="00911C74"/>
    <w:rsid w:val="00911DCA"/>
    <w:rsid w:val="00912098"/>
    <w:rsid w:val="00912396"/>
    <w:rsid w:val="00912525"/>
    <w:rsid w:val="009125BE"/>
    <w:rsid w:val="0091262C"/>
    <w:rsid w:val="009127C9"/>
    <w:rsid w:val="00912958"/>
    <w:rsid w:val="00912AE7"/>
    <w:rsid w:val="00912EA7"/>
    <w:rsid w:val="0091335D"/>
    <w:rsid w:val="0091362C"/>
    <w:rsid w:val="00913C07"/>
    <w:rsid w:val="00913CF4"/>
    <w:rsid w:val="0091441F"/>
    <w:rsid w:val="00914560"/>
    <w:rsid w:val="0091476D"/>
    <w:rsid w:val="00914BD8"/>
    <w:rsid w:val="00914FAE"/>
    <w:rsid w:val="00915709"/>
    <w:rsid w:val="009159F4"/>
    <w:rsid w:val="00915B62"/>
    <w:rsid w:val="00915B83"/>
    <w:rsid w:val="00915DE3"/>
    <w:rsid w:val="009160C9"/>
    <w:rsid w:val="009162E5"/>
    <w:rsid w:val="00916594"/>
    <w:rsid w:val="00916DBF"/>
    <w:rsid w:val="00916DE7"/>
    <w:rsid w:val="009177AF"/>
    <w:rsid w:val="009177CE"/>
    <w:rsid w:val="009179CB"/>
    <w:rsid w:val="00917A73"/>
    <w:rsid w:val="00917B22"/>
    <w:rsid w:val="00917B78"/>
    <w:rsid w:val="00917C09"/>
    <w:rsid w:val="00917CE3"/>
    <w:rsid w:val="009203EE"/>
    <w:rsid w:val="009204CF"/>
    <w:rsid w:val="00921083"/>
    <w:rsid w:val="00921784"/>
    <w:rsid w:val="00921AA5"/>
    <w:rsid w:val="00921C75"/>
    <w:rsid w:val="00921C82"/>
    <w:rsid w:val="00921C8C"/>
    <w:rsid w:val="00921DD7"/>
    <w:rsid w:val="009229BD"/>
    <w:rsid w:val="00922A27"/>
    <w:rsid w:val="00922B4E"/>
    <w:rsid w:val="00922BE1"/>
    <w:rsid w:val="0092313D"/>
    <w:rsid w:val="00923323"/>
    <w:rsid w:val="009237CF"/>
    <w:rsid w:val="00924598"/>
    <w:rsid w:val="00924C89"/>
    <w:rsid w:val="00924CB1"/>
    <w:rsid w:val="00925007"/>
    <w:rsid w:val="009252E7"/>
    <w:rsid w:val="00925368"/>
    <w:rsid w:val="00925577"/>
    <w:rsid w:val="00925C5B"/>
    <w:rsid w:val="00925D92"/>
    <w:rsid w:val="00926399"/>
    <w:rsid w:val="00926548"/>
    <w:rsid w:val="00926D4C"/>
    <w:rsid w:val="00927B9B"/>
    <w:rsid w:val="00927F27"/>
    <w:rsid w:val="0093015D"/>
    <w:rsid w:val="00930690"/>
    <w:rsid w:val="00930C71"/>
    <w:rsid w:val="00931009"/>
    <w:rsid w:val="0093181B"/>
    <w:rsid w:val="00931AD2"/>
    <w:rsid w:val="00931C08"/>
    <w:rsid w:val="00931C8D"/>
    <w:rsid w:val="009321C8"/>
    <w:rsid w:val="00932386"/>
    <w:rsid w:val="0093275D"/>
    <w:rsid w:val="00932D07"/>
    <w:rsid w:val="00933378"/>
    <w:rsid w:val="009339F7"/>
    <w:rsid w:val="00933A21"/>
    <w:rsid w:val="00934364"/>
    <w:rsid w:val="0093459B"/>
    <w:rsid w:val="009345B2"/>
    <w:rsid w:val="009345DE"/>
    <w:rsid w:val="00934900"/>
    <w:rsid w:val="009354A7"/>
    <w:rsid w:val="00935649"/>
    <w:rsid w:val="009356CB"/>
    <w:rsid w:val="009358CB"/>
    <w:rsid w:val="00935A08"/>
    <w:rsid w:val="009361AB"/>
    <w:rsid w:val="009371E5"/>
    <w:rsid w:val="009375B3"/>
    <w:rsid w:val="00937601"/>
    <w:rsid w:val="00937681"/>
    <w:rsid w:val="0093774C"/>
    <w:rsid w:val="009378A3"/>
    <w:rsid w:val="00937E55"/>
    <w:rsid w:val="009401E6"/>
    <w:rsid w:val="009404FD"/>
    <w:rsid w:val="00940D29"/>
    <w:rsid w:val="00940DD2"/>
    <w:rsid w:val="00940F59"/>
    <w:rsid w:val="0094100B"/>
    <w:rsid w:val="00941025"/>
    <w:rsid w:val="00941CBE"/>
    <w:rsid w:val="0094256C"/>
    <w:rsid w:val="009425EF"/>
    <w:rsid w:val="0094274B"/>
    <w:rsid w:val="00942809"/>
    <w:rsid w:val="009429DF"/>
    <w:rsid w:val="009431D9"/>
    <w:rsid w:val="00943236"/>
    <w:rsid w:val="00943C9E"/>
    <w:rsid w:val="00943EB3"/>
    <w:rsid w:val="00944523"/>
    <w:rsid w:val="00944898"/>
    <w:rsid w:val="00944F06"/>
    <w:rsid w:val="009454B6"/>
    <w:rsid w:val="0094552D"/>
    <w:rsid w:val="009455F6"/>
    <w:rsid w:val="00945C60"/>
    <w:rsid w:val="00945FBA"/>
    <w:rsid w:val="00946547"/>
    <w:rsid w:val="009465F2"/>
    <w:rsid w:val="00947393"/>
    <w:rsid w:val="00947A72"/>
    <w:rsid w:val="00950228"/>
    <w:rsid w:val="009504C4"/>
    <w:rsid w:val="009507C0"/>
    <w:rsid w:val="00950A45"/>
    <w:rsid w:val="00950AB2"/>
    <w:rsid w:val="00950CD9"/>
    <w:rsid w:val="00951227"/>
    <w:rsid w:val="00951E8B"/>
    <w:rsid w:val="00952449"/>
    <w:rsid w:val="0095299C"/>
    <w:rsid w:val="00952AD4"/>
    <w:rsid w:val="0095369A"/>
    <w:rsid w:val="00953BF6"/>
    <w:rsid w:val="00953D81"/>
    <w:rsid w:val="00954713"/>
    <w:rsid w:val="009548BA"/>
    <w:rsid w:val="00954DFD"/>
    <w:rsid w:val="00954F18"/>
    <w:rsid w:val="00954FBB"/>
    <w:rsid w:val="00955A9F"/>
    <w:rsid w:val="00956090"/>
    <w:rsid w:val="0095617D"/>
    <w:rsid w:val="009561CE"/>
    <w:rsid w:val="00956454"/>
    <w:rsid w:val="0095668A"/>
    <w:rsid w:val="0095684D"/>
    <w:rsid w:val="00956CA6"/>
    <w:rsid w:val="00957390"/>
    <w:rsid w:val="0095748D"/>
    <w:rsid w:val="00957D12"/>
    <w:rsid w:val="00957DEC"/>
    <w:rsid w:val="00960315"/>
    <w:rsid w:val="009605E2"/>
    <w:rsid w:val="0096078C"/>
    <w:rsid w:val="0096103F"/>
    <w:rsid w:val="00961161"/>
    <w:rsid w:val="0096132F"/>
    <w:rsid w:val="009618AA"/>
    <w:rsid w:val="00961D16"/>
    <w:rsid w:val="00961EC4"/>
    <w:rsid w:val="0096226B"/>
    <w:rsid w:val="009624A0"/>
    <w:rsid w:val="0096286F"/>
    <w:rsid w:val="00962F00"/>
    <w:rsid w:val="00962F79"/>
    <w:rsid w:val="0096302E"/>
    <w:rsid w:val="009631CD"/>
    <w:rsid w:val="00963830"/>
    <w:rsid w:val="00963A8F"/>
    <w:rsid w:val="0096458D"/>
    <w:rsid w:val="00964AC1"/>
    <w:rsid w:val="00964B99"/>
    <w:rsid w:val="009653CC"/>
    <w:rsid w:val="009654F3"/>
    <w:rsid w:val="009657DA"/>
    <w:rsid w:val="00965885"/>
    <w:rsid w:val="00965EA8"/>
    <w:rsid w:val="00965F3C"/>
    <w:rsid w:val="009663BB"/>
    <w:rsid w:val="00966458"/>
    <w:rsid w:val="00966811"/>
    <w:rsid w:val="00966D06"/>
    <w:rsid w:val="009676A5"/>
    <w:rsid w:val="009700CA"/>
    <w:rsid w:val="00970119"/>
    <w:rsid w:val="00970154"/>
    <w:rsid w:val="0097021D"/>
    <w:rsid w:val="0097023D"/>
    <w:rsid w:val="0097024B"/>
    <w:rsid w:val="00970475"/>
    <w:rsid w:val="0097057A"/>
    <w:rsid w:val="00970C4F"/>
    <w:rsid w:val="00970FEB"/>
    <w:rsid w:val="0097129D"/>
    <w:rsid w:val="00971378"/>
    <w:rsid w:val="00971510"/>
    <w:rsid w:val="00971AA4"/>
    <w:rsid w:val="00971AA6"/>
    <w:rsid w:val="00971BEF"/>
    <w:rsid w:val="00971C93"/>
    <w:rsid w:val="00971CFA"/>
    <w:rsid w:val="00971FFF"/>
    <w:rsid w:val="0097206D"/>
    <w:rsid w:val="00972633"/>
    <w:rsid w:val="0097294B"/>
    <w:rsid w:val="00972CB1"/>
    <w:rsid w:val="00972EE8"/>
    <w:rsid w:val="009733D6"/>
    <w:rsid w:val="00973517"/>
    <w:rsid w:val="00973A7A"/>
    <w:rsid w:val="00973DB1"/>
    <w:rsid w:val="00974200"/>
    <w:rsid w:val="0097475E"/>
    <w:rsid w:val="00974A36"/>
    <w:rsid w:val="0097517C"/>
    <w:rsid w:val="00975495"/>
    <w:rsid w:val="009756E3"/>
    <w:rsid w:val="00976511"/>
    <w:rsid w:val="00976D0C"/>
    <w:rsid w:val="00976E6E"/>
    <w:rsid w:val="00977862"/>
    <w:rsid w:val="00977DEE"/>
    <w:rsid w:val="00977F35"/>
    <w:rsid w:val="0098011A"/>
    <w:rsid w:val="009801B8"/>
    <w:rsid w:val="00980953"/>
    <w:rsid w:val="0098151C"/>
    <w:rsid w:val="00981850"/>
    <w:rsid w:val="00981961"/>
    <w:rsid w:val="00981BA3"/>
    <w:rsid w:val="00981F6C"/>
    <w:rsid w:val="00982299"/>
    <w:rsid w:val="009826DE"/>
    <w:rsid w:val="00982785"/>
    <w:rsid w:val="00982CAF"/>
    <w:rsid w:val="00982CFB"/>
    <w:rsid w:val="00983120"/>
    <w:rsid w:val="00983266"/>
    <w:rsid w:val="009834F4"/>
    <w:rsid w:val="00983729"/>
    <w:rsid w:val="0098397A"/>
    <w:rsid w:val="00983F5F"/>
    <w:rsid w:val="00984532"/>
    <w:rsid w:val="00984B06"/>
    <w:rsid w:val="00984FB7"/>
    <w:rsid w:val="009850E2"/>
    <w:rsid w:val="00985169"/>
    <w:rsid w:val="009851DB"/>
    <w:rsid w:val="00985D0F"/>
    <w:rsid w:val="0098640F"/>
    <w:rsid w:val="00986714"/>
    <w:rsid w:val="00986B93"/>
    <w:rsid w:val="00986BC1"/>
    <w:rsid w:val="00986E8F"/>
    <w:rsid w:val="009872F0"/>
    <w:rsid w:val="00987596"/>
    <w:rsid w:val="00987D96"/>
    <w:rsid w:val="00990B43"/>
    <w:rsid w:val="00990BB1"/>
    <w:rsid w:val="00990CE2"/>
    <w:rsid w:val="00990FA4"/>
    <w:rsid w:val="009912F1"/>
    <w:rsid w:val="00991524"/>
    <w:rsid w:val="00991618"/>
    <w:rsid w:val="0099171C"/>
    <w:rsid w:val="00991E63"/>
    <w:rsid w:val="009920C7"/>
    <w:rsid w:val="009923A9"/>
    <w:rsid w:val="00992437"/>
    <w:rsid w:val="0099253B"/>
    <w:rsid w:val="00992734"/>
    <w:rsid w:val="00992B03"/>
    <w:rsid w:val="00992B20"/>
    <w:rsid w:val="00992B3E"/>
    <w:rsid w:val="00992F0B"/>
    <w:rsid w:val="0099311C"/>
    <w:rsid w:val="009931FE"/>
    <w:rsid w:val="00993221"/>
    <w:rsid w:val="00993284"/>
    <w:rsid w:val="00993307"/>
    <w:rsid w:val="00993882"/>
    <w:rsid w:val="00993896"/>
    <w:rsid w:val="009942D9"/>
    <w:rsid w:val="00994874"/>
    <w:rsid w:val="00994EFD"/>
    <w:rsid w:val="0099515C"/>
    <w:rsid w:val="0099541E"/>
    <w:rsid w:val="0099569F"/>
    <w:rsid w:val="00995872"/>
    <w:rsid w:val="00995F8E"/>
    <w:rsid w:val="00996463"/>
    <w:rsid w:val="00996797"/>
    <w:rsid w:val="009967DC"/>
    <w:rsid w:val="009968DE"/>
    <w:rsid w:val="00996C4A"/>
    <w:rsid w:val="009970DA"/>
    <w:rsid w:val="0099728A"/>
    <w:rsid w:val="00997D66"/>
    <w:rsid w:val="00997DA0"/>
    <w:rsid w:val="009A0579"/>
    <w:rsid w:val="009A0DAE"/>
    <w:rsid w:val="009A1305"/>
    <w:rsid w:val="009A13AF"/>
    <w:rsid w:val="009A18DF"/>
    <w:rsid w:val="009A1FC0"/>
    <w:rsid w:val="009A206E"/>
    <w:rsid w:val="009A20F5"/>
    <w:rsid w:val="009A258E"/>
    <w:rsid w:val="009A260E"/>
    <w:rsid w:val="009A2682"/>
    <w:rsid w:val="009A2830"/>
    <w:rsid w:val="009A2B35"/>
    <w:rsid w:val="009A30CD"/>
    <w:rsid w:val="009A3227"/>
    <w:rsid w:val="009A343A"/>
    <w:rsid w:val="009A35A6"/>
    <w:rsid w:val="009A3D65"/>
    <w:rsid w:val="009A3F3B"/>
    <w:rsid w:val="009A4109"/>
    <w:rsid w:val="009A4835"/>
    <w:rsid w:val="009A49AD"/>
    <w:rsid w:val="009A4AFB"/>
    <w:rsid w:val="009A4DD7"/>
    <w:rsid w:val="009A4F67"/>
    <w:rsid w:val="009A52B1"/>
    <w:rsid w:val="009A57BD"/>
    <w:rsid w:val="009A5872"/>
    <w:rsid w:val="009A5A95"/>
    <w:rsid w:val="009A5C45"/>
    <w:rsid w:val="009A61D8"/>
    <w:rsid w:val="009A62FB"/>
    <w:rsid w:val="009A63A7"/>
    <w:rsid w:val="009A6677"/>
    <w:rsid w:val="009A680B"/>
    <w:rsid w:val="009A72ED"/>
    <w:rsid w:val="009A7841"/>
    <w:rsid w:val="009A78C8"/>
    <w:rsid w:val="009B04F0"/>
    <w:rsid w:val="009B0D8B"/>
    <w:rsid w:val="009B0F74"/>
    <w:rsid w:val="009B1928"/>
    <w:rsid w:val="009B1C5C"/>
    <w:rsid w:val="009B1D06"/>
    <w:rsid w:val="009B1E02"/>
    <w:rsid w:val="009B1EB2"/>
    <w:rsid w:val="009B20D9"/>
    <w:rsid w:val="009B231B"/>
    <w:rsid w:val="009B3346"/>
    <w:rsid w:val="009B35B1"/>
    <w:rsid w:val="009B37A7"/>
    <w:rsid w:val="009B37CB"/>
    <w:rsid w:val="009B3987"/>
    <w:rsid w:val="009B44AB"/>
    <w:rsid w:val="009B51BE"/>
    <w:rsid w:val="009B5347"/>
    <w:rsid w:val="009B53E1"/>
    <w:rsid w:val="009B54BC"/>
    <w:rsid w:val="009B59D7"/>
    <w:rsid w:val="009B59E0"/>
    <w:rsid w:val="009B5B5D"/>
    <w:rsid w:val="009B5C24"/>
    <w:rsid w:val="009B5F43"/>
    <w:rsid w:val="009B64C7"/>
    <w:rsid w:val="009B68FF"/>
    <w:rsid w:val="009B69C5"/>
    <w:rsid w:val="009B6DAF"/>
    <w:rsid w:val="009B73AE"/>
    <w:rsid w:val="009B771D"/>
    <w:rsid w:val="009B7A7F"/>
    <w:rsid w:val="009C0156"/>
    <w:rsid w:val="009C03E1"/>
    <w:rsid w:val="009C13FA"/>
    <w:rsid w:val="009C1761"/>
    <w:rsid w:val="009C18BE"/>
    <w:rsid w:val="009C1CFE"/>
    <w:rsid w:val="009C2422"/>
    <w:rsid w:val="009C2460"/>
    <w:rsid w:val="009C2621"/>
    <w:rsid w:val="009C2AF5"/>
    <w:rsid w:val="009C2B29"/>
    <w:rsid w:val="009C2F2C"/>
    <w:rsid w:val="009C3019"/>
    <w:rsid w:val="009C3043"/>
    <w:rsid w:val="009C3216"/>
    <w:rsid w:val="009C3261"/>
    <w:rsid w:val="009C3302"/>
    <w:rsid w:val="009C3F2B"/>
    <w:rsid w:val="009C4665"/>
    <w:rsid w:val="009C49A3"/>
    <w:rsid w:val="009C4E7F"/>
    <w:rsid w:val="009C51A6"/>
    <w:rsid w:val="009C52B1"/>
    <w:rsid w:val="009C5398"/>
    <w:rsid w:val="009C542F"/>
    <w:rsid w:val="009C54A0"/>
    <w:rsid w:val="009C676F"/>
    <w:rsid w:val="009C6922"/>
    <w:rsid w:val="009C6BF8"/>
    <w:rsid w:val="009C6D02"/>
    <w:rsid w:val="009C6D7C"/>
    <w:rsid w:val="009C7328"/>
    <w:rsid w:val="009C7579"/>
    <w:rsid w:val="009C75BB"/>
    <w:rsid w:val="009C7701"/>
    <w:rsid w:val="009C7A5C"/>
    <w:rsid w:val="009C7AA6"/>
    <w:rsid w:val="009C7E51"/>
    <w:rsid w:val="009D03BE"/>
    <w:rsid w:val="009D0BF5"/>
    <w:rsid w:val="009D0E8D"/>
    <w:rsid w:val="009D0FAC"/>
    <w:rsid w:val="009D0FED"/>
    <w:rsid w:val="009D1179"/>
    <w:rsid w:val="009D1388"/>
    <w:rsid w:val="009D146B"/>
    <w:rsid w:val="009D194A"/>
    <w:rsid w:val="009D1A82"/>
    <w:rsid w:val="009D2205"/>
    <w:rsid w:val="009D22C4"/>
    <w:rsid w:val="009D22E1"/>
    <w:rsid w:val="009D2566"/>
    <w:rsid w:val="009D26F2"/>
    <w:rsid w:val="009D3479"/>
    <w:rsid w:val="009D351F"/>
    <w:rsid w:val="009D3697"/>
    <w:rsid w:val="009D39E5"/>
    <w:rsid w:val="009D3BE7"/>
    <w:rsid w:val="009D4120"/>
    <w:rsid w:val="009D41BE"/>
    <w:rsid w:val="009D5054"/>
    <w:rsid w:val="009D517E"/>
    <w:rsid w:val="009D589D"/>
    <w:rsid w:val="009D5B36"/>
    <w:rsid w:val="009D65E8"/>
    <w:rsid w:val="009D7072"/>
    <w:rsid w:val="009D70D3"/>
    <w:rsid w:val="009D7134"/>
    <w:rsid w:val="009D7188"/>
    <w:rsid w:val="009D71AB"/>
    <w:rsid w:val="009D7588"/>
    <w:rsid w:val="009D7843"/>
    <w:rsid w:val="009D7AA7"/>
    <w:rsid w:val="009D7B12"/>
    <w:rsid w:val="009D7B71"/>
    <w:rsid w:val="009E02AD"/>
    <w:rsid w:val="009E0398"/>
    <w:rsid w:val="009E0606"/>
    <w:rsid w:val="009E13FE"/>
    <w:rsid w:val="009E174E"/>
    <w:rsid w:val="009E1816"/>
    <w:rsid w:val="009E2118"/>
    <w:rsid w:val="009E248D"/>
    <w:rsid w:val="009E2541"/>
    <w:rsid w:val="009E2C49"/>
    <w:rsid w:val="009E2CB1"/>
    <w:rsid w:val="009E2D27"/>
    <w:rsid w:val="009E36DA"/>
    <w:rsid w:val="009E36ED"/>
    <w:rsid w:val="009E3AAA"/>
    <w:rsid w:val="009E3E7E"/>
    <w:rsid w:val="009E410F"/>
    <w:rsid w:val="009E4769"/>
    <w:rsid w:val="009E4938"/>
    <w:rsid w:val="009E5543"/>
    <w:rsid w:val="009E554D"/>
    <w:rsid w:val="009E56AC"/>
    <w:rsid w:val="009E571B"/>
    <w:rsid w:val="009E5C3D"/>
    <w:rsid w:val="009E5F87"/>
    <w:rsid w:val="009E61CD"/>
    <w:rsid w:val="009E651A"/>
    <w:rsid w:val="009E6688"/>
    <w:rsid w:val="009E678F"/>
    <w:rsid w:val="009E6B00"/>
    <w:rsid w:val="009E6B0C"/>
    <w:rsid w:val="009E6FFC"/>
    <w:rsid w:val="009E72EB"/>
    <w:rsid w:val="009E74A8"/>
    <w:rsid w:val="009E76CB"/>
    <w:rsid w:val="009E79DB"/>
    <w:rsid w:val="009E7E52"/>
    <w:rsid w:val="009F0465"/>
    <w:rsid w:val="009F09AA"/>
    <w:rsid w:val="009F0CB8"/>
    <w:rsid w:val="009F1197"/>
    <w:rsid w:val="009F1319"/>
    <w:rsid w:val="009F14C1"/>
    <w:rsid w:val="009F1518"/>
    <w:rsid w:val="009F164D"/>
    <w:rsid w:val="009F1841"/>
    <w:rsid w:val="009F1B5D"/>
    <w:rsid w:val="009F1CC7"/>
    <w:rsid w:val="009F1CF6"/>
    <w:rsid w:val="009F2287"/>
    <w:rsid w:val="009F2506"/>
    <w:rsid w:val="009F2AD8"/>
    <w:rsid w:val="009F30ED"/>
    <w:rsid w:val="009F3361"/>
    <w:rsid w:val="009F35F7"/>
    <w:rsid w:val="009F38C0"/>
    <w:rsid w:val="009F3D32"/>
    <w:rsid w:val="009F403F"/>
    <w:rsid w:val="009F4338"/>
    <w:rsid w:val="009F4638"/>
    <w:rsid w:val="009F4949"/>
    <w:rsid w:val="009F5008"/>
    <w:rsid w:val="009F51B4"/>
    <w:rsid w:val="009F5260"/>
    <w:rsid w:val="009F5963"/>
    <w:rsid w:val="009F5A94"/>
    <w:rsid w:val="009F5D8F"/>
    <w:rsid w:val="009F5ECF"/>
    <w:rsid w:val="009F5F52"/>
    <w:rsid w:val="009F61E1"/>
    <w:rsid w:val="009F681C"/>
    <w:rsid w:val="009F6831"/>
    <w:rsid w:val="009F685F"/>
    <w:rsid w:val="009F69C9"/>
    <w:rsid w:val="009F6A7D"/>
    <w:rsid w:val="009F6FBB"/>
    <w:rsid w:val="009F7115"/>
    <w:rsid w:val="009F72C9"/>
    <w:rsid w:val="009F7384"/>
    <w:rsid w:val="009F7943"/>
    <w:rsid w:val="009F7D0B"/>
    <w:rsid w:val="009F7D5F"/>
    <w:rsid w:val="00A00215"/>
    <w:rsid w:val="00A009FF"/>
    <w:rsid w:val="00A00B2A"/>
    <w:rsid w:val="00A015ED"/>
    <w:rsid w:val="00A01A28"/>
    <w:rsid w:val="00A01C4B"/>
    <w:rsid w:val="00A01F51"/>
    <w:rsid w:val="00A020C7"/>
    <w:rsid w:val="00A02164"/>
    <w:rsid w:val="00A0373A"/>
    <w:rsid w:val="00A03954"/>
    <w:rsid w:val="00A03F23"/>
    <w:rsid w:val="00A041F4"/>
    <w:rsid w:val="00A04230"/>
    <w:rsid w:val="00A04393"/>
    <w:rsid w:val="00A04C2C"/>
    <w:rsid w:val="00A04CC6"/>
    <w:rsid w:val="00A05079"/>
    <w:rsid w:val="00A053FC"/>
    <w:rsid w:val="00A05687"/>
    <w:rsid w:val="00A05E22"/>
    <w:rsid w:val="00A05EB7"/>
    <w:rsid w:val="00A05F4D"/>
    <w:rsid w:val="00A05FB7"/>
    <w:rsid w:val="00A0609A"/>
    <w:rsid w:val="00A0684D"/>
    <w:rsid w:val="00A06931"/>
    <w:rsid w:val="00A076A9"/>
    <w:rsid w:val="00A07CA1"/>
    <w:rsid w:val="00A07E9E"/>
    <w:rsid w:val="00A07F79"/>
    <w:rsid w:val="00A1047A"/>
    <w:rsid w:val="00A10A30"/>
    <w:rsid w:val="00A10CBF"/>
    <w:rsid w:val="00A10EB2"/>
    <w:rsid w:val="00A110EC"/>
    <w:rsid w:val="00A11205"/>
    <w:rsid w:val="00A1182F"/>
    <w:rsid w:val="00A11C48"/>
    <w:rsid w:val="00A11D71"/>
    <w:rsid w:val="00A12AB1"/>
    <w:rsid w:val="00A13107"/>
    <w:rsid w:val="00A13731"/>
    <w:rsid w:val="00A138A2"/>
    <w:rsid w:val="00A13A36"/>
    <w:rsid w:val="00A13D94"/>
    <w:rsid w:val="00A13DC2"/>
    <w:rsid w:val="00A14439"/>
    <w:rsid w:val="00A146B5"/>
    <w:rsid w:val="00A1473A"/>
    <w:rsid w:val="00A1486D"/>
    <w:rsid w:val="00A148B3"/>
    <w:rsid w:val="00A14999"/>
    <w:rsid w:val="00A162DE"/>
    <w:rsid w:val="00A16910"/>
    <w:rsid w:val="00A16BCF"/>
    <w:rsid w:val="00A16C5F"/>
    <w:rsid w:val="00A16CBE"/>
    <w:rsid w:val="00A16FD3"/>
    <w:rsid w:val="00A1731B"/>
    <w:rsid w:val="00A17423"/>
    <w:rsid w:val="00A17514"/>
    <w:rsid w:val="00A17AF9"/>
    <w:rsid w:val="00A17D32"/>
    <w:rsid w:val="00A207F5"/>
    <w:rsid w:val="00A20A46"/>
    <w:rsid w:val="00A20D03"/>
    <w:rsid w:val="00A2157A"/>
    <w:rsid w:val="00A220AF"/>
    <w:rsid w:val="00A22246"/>
    <w:rsid w:val="00A22402"/>
    <w:rsid w:val="00A2276C"/>
    <w:rsid w:val="00A22ACD"/>
    <w:rsid w:val="00A22F25"/>
    <w:rsid w:val="00A233D0"/>
    <w:rsid w:val="00A2397D"/>
    <w:rsid w:val="00A23C63"/>
    <w:rsid w:val="00A24323"/>
    <w:rsid w:val="00A244C4"/>
    <w:rsid w:val="00A244E5"/>
    <w:rsid w:val="00A245A6"/>
    <w:rsid w:val="00A2498A"/>
    <w:rsid w:val="00A25255"/>
    <w:rsid w:val="00A2525C"/>
    <w:rsid w:val="00A25398"/>
    <w:rsid w:val="00A2548B"/>
    <w:rsid w:val="00A255B9"/>
    <w:rsid w:val="00A25DD7"/>
    <w:rsid w:val="00A25DE8"/>
    <w:rsid w:val="00A269D9"/>
    <w:rsid w:val="00A26A83"/>
    <w:rsid w:val="00A26C4A"/>
    <w:rsid w:val="00A26C7A"/>
    <w:rsid w:val="00A26F9A"/>
    <w:rsid w:val="00A270DD"/>
    <w:rsid w:val="00A27273"/>
    <w:rsid w:val="00A276A0"/>
    <w:rsid w:val="00A27932"/>
    <w:rsid w:val="00A2795B"/>
    <w:rsid w:val="00A27A1A"/>
    <w:rsid w:val="00A27CD7"/>
    <w:rsid w:val="00A27EBC"/>
    <w:rsid w:val="00A27F6C"/>
    <w:rsid w:val="00A30062"/>
    <w:rsid w:val="00A30460"/>
    <w:rsid w:val="00A30A47"/>
    <w:rsid w:val="00A30F4B"/>
    <w:rsid w:val="00A30FB7"/>
    <w:rsid w:val="00A3127C"/>
    <w:rsid w:val="00A314B8"/>
    <w:rsid w:val="00A3212B"/>
    <w:rsid w:val="00A323BC"/>
    <w:rsid w:val="00A32508"/>
    <w:rsid w:val="00A33196"/>
    <w:rsid w:val="00A33766"/>
    <w:rsid w:val="00A33EB5"/>
    <w:rsid w:val="00A344D7"/>
    <w:rsid w:val="00A34649"/>
    <w:rsid w:val="00A3498F"/>
    <w:rsid w:val="00A34A3B"/>
    <w:rsid w:val="00A3546D"/>
    <w:rsid w:val="00A354AA"/>
    <w:rsid w:val="00A356DF"/>
    <w:rsid w:val="00A3584D"/>
    <w:rsid w:val="00A35D74"/>
    <w:rsid w:val="00A36D82"/>
    <w:rsid w:val="00A36E81"/>
    <w:rsid w:val="00A3758B"/>
    <w:rsid w:val="00A37A6F"/>
    <w:rsid w:val="00A37D10"/>
    <w:rsid w:val="00A37E5D"/>
    <w:rsid w:val="00A406A7"/>
    <w:rsid w:val="00A40722"/>
    <w:rsid w:val="00A40A3C"/>
    <w:rsid w:val="00A40C09"/>
    <w:rsid w:val="00A40C3D"/>
    <w:rsid w:val="00A40EA5"/>
    <w:rsid w:val="00A40F2F"/>
    <w:rsid w:val="00A41037"/>
    <w:rsid w:val="00A413BD"/>
    <w:rsid w:val="00A41AE8"/>
    <w:rsid w:val="00A41AF9"/>
    <w:rsid w:val="00A41B75"/>
    <w:rsid w:val="00A4249A"/>
    <w:rsid w:val="00A427C1"/>
    <w:rsid w:val="00A427DA"/>
    <w:rsid w:val="00A429BD"/>
    <w:rsid w:val="00A42EEB"/>
    <w:rsid w:val="00A43648"/>
    <w:rsid w:val="00A44524"/>
    <w:rsid w:val="00A446B1"/>
    <w:rsid w:val="00A4486D"/>
    <w:rsid w:val="00A44943"/>
    <w:rsid w:val="00A44A85"/>
    <w:rsid w:val="00A44F77"/>
    <w:rsid w:val="00A45BDF"/>
    <w:rsid w:val="00A46172"/>
    <w:rsid w:val="00A462BE"/>
    <w:rsid w:val="00A46586"/>
    <w:rsid w:val="00A46824"/>
    <w:rsid w:val="00A46848"/>
    <w:rsid w:val="00A46D01"/>
    <w:rsid w:val="00A47686"/>
    <w:rsid w:val="00A47EF8"/>
    <w:rsid w:val="00A5045D"/>
    <w:rsid w:val="00A5067E"/>
    <w:rsid w:val="00A50A95"/>
    <w:rsid w:val="00A50F7B"/>
    <w:rsid w:val="00A511F1"/>
    <w:rsid w:val="00A512DF"/>
    <w:rsid w:val="00A51585"/>
    <w:rsid w:val="00A51816"/>
    <w:rsid w:val="00A51B28"/>
    <w:rsid w:val="00A52193"/>
    <w:rsid w:val="00A52258"/>
    <w:rsid w:val="00A522F2"/>
    <w:rsid w:val="00A52568"/>
    <w:rsid w:val="00A5281B"/>
    <w:rsid w:val="00A52C25"/>
    <w:rsid w:val="00A52CF4"/>
    <w:rsid w:val="00A52F69"/>
    <w:rsid w:val="00A52FFF"/>
    <w:rsid w:val="00A535E3"/>
    <w:rsid w:val="00A5366A"/>
    <w:rsid w:val="00A53F6C"/>
    <w:rsid w:val="00A5400A"/>
    <w:rsid w:val="00A543FC"/>
    <w:rsid w:val="00A5452A"/>
    <w:rsid w:val="00A54782"/>
    <w:rsid w:val="00A54866"/>
    <w:rsid w:val="00A550BF"/>
    <w:rsid w:val="00A55861"/>
    <w:rsid w:val="00A55D17"/>
    <w:rsid w:val="00A55F83"/>
    <w:rsid w:val="00A564D3"/>
    <w:rsid w:val="00A5693F"/>
    <w:rsid w:val="00A569D6"/>
    <w:rsid w:val="00A56AE4"/>
    <w:rsid w:val="00A56B47"/>
    <w:rsid w:val="00A56BA5"/>
    <w:rsid w:val="00A56CC9"/>
    <w:rsid w:val="00A57218"/>
    <w:rsid w:val="00A57774"/>
    <w:rsid w:val="00A57E08"/>
    <w:rsid w:val="00A57F2C"/>
    <w:rsid w:val="00A605FF"/>
    <w:rsid w:val="00A608A2"/>
    <w:rsid w:val="00A6094D"/>
    <w:rsid w:val="00A609D2"/>
    <w:rsid w:val="00A60C4B"/>
    <w:rsid w:val="00A60CAE"/>
    <w:rsid w:val="00A60D0A"/>
    <w:rsid w:val="00A61702"/>
    <w:rsid w:val="00A61DB3"/>
    <w:rsid w:val="00A61EC2"/>
    <w:rsid w:val="00A61F7D"/>
    <w:rsid w:val="00A62818"/>
    <w:rsid w:val="00A62E85"/>
    <w:rsid w:val="00A63F1E"/>
    <w:rsid w:val="00A64060"/>
    <w:rsid w:val="00A64158"/>
    <w:rsid w:val="00A64337"/>
    <w:rsid w:val="00A6470F"/>
    <w:rsid w:val="00A650CD"/>
    <w:rsid w:val="00A6521A"/>
    <w:rsid w:val="00A65398"/>
    <w:rsid w:val="00A6547B"/>
    <w:rsid w:val="00A65F76"/>
    <w:rsid w:val="00A662E0"/>
    <w:rsid w:val="00A6638A"/>
    <w:rsid w:val="00A664DD"/>
    <w:rsid w:val="00A66947"/>
    <w:rsid w:val="00A66F2C"/>
    <w:rsid w:val="00A672AF"/>
    <w:rsid w:val="00A6782D"/>
    <w:rsid w:val="00A678AD"/>
    <w:rsid w:val="00A678BD"/>
    <w:rsid w:val="00A67947"/>
    <w:rsid w:val="00A67948"/>
    <w:rsid w:val="00A67D19"/>
    <w:rsid w:val="00A6A1F2"/>
    <w:rsid w:val="00A70015"/>
    <w:rsid w:val="00A700D6"/>
    <w:rsid w:val="00A702AA"/>
    <w:rsid w:val="00A70600"/>
    <w:rsid w:val="00A718B6"/>
    <w:rsid w:val="00A7190A"/>
    <w:rsid w:val="00A7211E"/>
    <w:rsid w:val="00A72463"/>
    <w:rsid w:val="00A727B8"/>
    <w:rsid w:val="00A72C8A"/>
    <w:rsid w:val="00A72D49"/>
    <w:rsid w:val="00A72FEE"/>
    <w:rsid w:val="00A73285"/>
    <w:rsid w:val="00A732F0"/>
    <w:rsid w:val="00A73488"/>
    <w:rsid w:val="00A73551"/>
    <w:rsid w:val="00A7485A"/>
    <w:rsid w:val="00A74A77"/>
    <w:rsid w:val="00A74F98"/>
    <w:rsid w:val="00A74FE1"/>
    <w:rsid w:val="00A75499"/>
    <w:rsid w:val="00A758E3"/>
    <w:rsid w:val="00A75BA0"/>
    <w:rsid w:val="00A7603E"/>
    <w:rsid w:val="00A764E2"/>
    <w:rsid w:val="00A76E70"/>
    <w:rsid w:val="00A770C1"/>
    <w:rsid w:val="00A77160"/>
    <w:rsid w:val="00A77191"/>
    <w:rsid w:val="00A7754F"/>
    <w:rsid w:val="00A776D3"/>
    <w:rsid w:val="00A778AE"/>
    <w:rsid w:val="00A77ADF"/>
    <w:rsid w:val="00A8064E"/>
    <w:rsid w:val="00A80B84"/>
    <w:rsid w:val="00A80C61"/>
    <w:rsid w:val="00A8134A"/>
    <w:rsid w:val="00A81AC6"/>
    <w:rsid w:val="00A81CB1"/>
    <w:rsid w:val="00A8204D"/>
    <w:rsid w:val="00A82123"/>
    <w:rsid w:val="00A82918"/>
    <w:rsid w:val="00A83353"/>
    <w:rsid w:val="00A83389"/>
    <w:rsid w:val="00A833AA"/>
    <w:rsid w:val="00A83580"/>
    <w:rsid w:val="00A836C0"/>
    <w:rsid w:val="00A83B7D"/>
    <w:rsid w:val="00A843B6"/>
    <w:rsid w:val="00A847D8"/>
    <w:rsid w:val="00A84AFE"/>
    <w:rsid w:val="00A84F5C"/>
    <w:rsid w:val="00A85DC7"/>
    <w:rsid w:val="00A865FF"/>
    <w:rsid w:val="00A86774"/>
    <w:rsid w:val="00A8697F"/>
    <w:rsid w:val="00A87333"/>
    <w:rsid w:val="00A87A4C"/>
    <w:rsid w:val="00A87F8D"/>
    <w:rsid w:val="00A903CC"/>
    <w:rsid w:val="00A907AC"/>
    <w:rsid w:val="00A907BC"/>
    <w:rsid w:val="00A90967"/>
    <w:rsid w:val="00A90A6B"/>
    <w:rsid w:val="00A91654"/>
    <w:rsid w:val="00A91A9A"/>
    <w:rsid w:val="00A92296"/>
    <w:rsid w:val="00A923A1"/>
    <w:rsid w:val="00A926D5"/>
    <w:rsid w:val="00A92CB6"/>
    <w:rsid w:val="00A92E31"/>
    <w:rsid w:val="00A92EC7"/>
    <w:rsid w:val="00A92F08"/>
    <w:rsid w:val="00A937DA"/>
    <w:rsid w:val="00A937EF"/>
    <w:rsid w:val="00A939AD"/>
    <w:rsid w:val="00A94363"/>
    <w:rsid w:val="00A947DF"/>
    <w:rsid w:val="00A94AEB"/>
    <w:rsid w:val="00A94D1E"/>
    <w:rsid w:val="00A94E1A"/>
    <w:rsid w:val="00A95108"/>
    <w:rsid w:val="00A951F3"/>
    <w:rsid w:val="00A9597E"/>
    <w:rsid w:val="00A96183"/>
    <w:rsid w:val="00A9621E"/>
    <w:rsid w:val="00A96388"/>
    <w:rsid w:val="00A9641E"/>
    <w:rsid w:val="00A964E4"/>
    <w:rsid w:val="00A9672C"/>
    <w:rsid w:val="00A96C17"/>
    <w:rsid w:val="00A96E0C"/>
    <w:rsid w:val="00A97262"/>
    <w:rsid w:val="00A97324"/>
    <w:rsid w:val="00A9762A"/>
    <w:rsid w:val="00A9777C"/>
    <w:rsid w:val="00A97B5B"/>
    <w:rsid w:val="00A97F0F"/>
    <w:rsid w:val="00A97F7D"/>
    <w:rsid w:val="00AA04A5"/>
    <w:rsid w:val="00AA04F4"/>
    <w:rsid w:val="00AA0516"/>
    <w:rsid w:val="00AA0753"/>
    <w:rsid w:val="00AA0899"/>
    <w:rsid w:val="00AA0A99"/>
    <w:rsid w:val="00AA0B20"/>
    <w:rsid w:val="00AA102B"/>
    <w:rsid w:val="00AA1466"/>
    <w:rsid w:val="00AA2900"/>
    <w:rsid w:val="00AA2DF5"/>
    <w:rsid w:val="00AA2DF6"/>
    <w:rsid w:val="00AA2ED3"/>
    <w:rsid w:val="00AA2F1E"/>
    <w:rsid w:val="00AA3120"/>
    <w:rsid w:val="00AA3A4F"/>
    <w:rsid w:val="00AA3B44"/>
    <w:rsid w:val="00AA3B9A"/>
    <w:rsid w:val="00AA3DB8"/>
    <w:rsid w:val="00AA40EB"/>
    <w:rsid w:val="00AA429C"/>
    <w:rsid w:val="00AA4615"/>
    <w:rsid w:val="00AA4C21"/>
    <w:rsid w:val="00AA52E3"/>
    <w:rsid w:val="00AA573F"/>
    <w:rsid w:val="00AA59FC"/>
    <w:rsid w:val="00AA5F89"/>
    <w:rsid w:val="00AA6065"/>
    <w:rsid w:val="00AA6AD1"/>
    <w:rsid w:val="00AA7BAC"/>
    <w:rsid w:val="00AA7ED7"/>
    <w:rsid w:val="00AA7F89"/>
    <w:rsid w:val="00AB013D"/>
    <w:rsid w:val="00AB0392"/>
    <w:rsid w:val="00AB04C9"/>
    <w:rsid w:val="00AB0590"/>
    <w:rsid w:val="00AB06C7"/>
    <w:rsid w:val="00AB0A5D"/>
    <w:rsid w:val="00AB0B26"/>
    <w:rsid w:val="00AB0E01"/>
    <w:rsid w:val="00AB11B6"/>
    <w:rsid w:val="00AB17F1"/>
    <w:rsid w:val="00AB1933"/>
    <w:rsid w:val="00AB1A38"/>
    <w:rsid w:val="00AB2029"/>
    <w:rsid w:val="00AB232D"/>
    <w:rsid w:val="00AB246F"/>
    <w:rsid w:val="00AB2AA0"/>
    <w:rsid w:val="00AB37BB"/>
    <w:rsid w:val="00AB3925"/>
    <w:rsid w:val="00AB3DBB"/>
    <w:rsid w:val="00AB3F1D"/>
    <w:rsid w:val="00AB4062"/>
    <w:rsid w:val="00AB4303"/>
    <w:rsid w:val="00AB445D"/>
    <w:rsid w:val="00AB489E"/>
    <w:rsid w:val="00AB4993"/>
    <w:rsid w:val="00AB4D53"/>
    <w:rsid w:val="00AB4E77"/>
    <w:rsid w:val="00AB5058"/>
    <w:rsid w:val="00AB54AA"/>
    <w:rsid w:val="00AB5760"/>
    <w:rsid w:val="00AB5AA9"/>
    <w:rsid w:val="00AB5AB0"/>
    <w:rsid w:val="00AB5B72"/>
    <w:rsid w:val="00AB5B78"/>
    <w:rsid w:val="00AB5F1C"/>
    <w:rsid w:val="00AB6034"/>
    <w:rsid w:val="00AB6134"/>
    <w:rsid w:val="00AB6205"/>
    <w:rsid w:val="00AB6233"/>
    <w:rsid w:val="00AB6262"/>
    <w:rsid w:val="00AB685E"/>
    <w:rsid w:val="00AB6B6E"/>
    <w:rsid w:val="00AB6F2D"/>
    <w:rsid w:val="00AB7006"/>
    <w:rsid w:val="00AB706B"/>
    <w:rsid w:val="00AB71F8"/>
    <w:rsid w:val="00AB7650"/>
    <w:rsid w:val="00AB78C8"/>
    <w:rsid w:val="00AC01B4"/>
    <w:rsid w:val="00AC17E5"/>
    <w:rsid w:val="00AC1C18"/>
    <w:rsid w:val="00AC1CD6"/>
    <w:rsid w:val="00AC1F7D"/>
    <w:rsid w:val="00AC2229"/>
    <w:rsid w:val="00AC29B2"/>
    <w:rsid w:val="00AC2CF1"/>
    <w:rsid w:val="00AC2E4E"/>
    <w:rsid w:val="00AC2F92"/>
    <w:rsid w:val="00AC31E0"/>
    <w:rsid w:val="00AC34C9"/>
    <w:rsid w:val="00AC36F1"/>
    <w:rsid w:val="00AC4099"/>
    <w:rsid w:val="00AC40B2"/>
    <w:rsid w:val="00AC443B"/>
    <w:rsid w:val="00AC51EC"/>
    <w:rsid w:val="00AC53A8"/>
    <w:rsid w:val="00AC57F9"/>
    <w:rsid w:val="00AC64DE"/>
    <w:rsid w:val="00AC65A7"/>
    <w:rsid w:val="00AC68D9"/>
    <w:rsid w:val="00AC6998"/>
    <w:rsid w:val="00AC6B58"/>
    <w:rsid w:val="00AC7142"/>
    <w:rsid w:val="00AC74FD"/>
    <w:rsid w:val="00AC7EF9"/>
    <w:rsid w:val="00AD025F"/>
    <w:rsid w:val="00AD056F"/>
    <w:rsid w:val="00AD0C8D"/>
    <w:rsid w:val="00AD0D3E"/>
    <w:rsid w:val="00AD0EF7"/>
    <w:rsid w:val="00AD1163"/>
    <w:rsid w:val="00AD1397"/>
    <w:rsid w:val="00AD154B"/>
    <w:rsid w:val="00AD15F0"/>
    <w:rsid w:val="00AD187B"/>
    <w:rsid w:val="00AD1FFF"/>
    <w:rsid w:val="00AD287A"/>
    <w:rsid w:val="00AD2A15"/>
    <w:rsid w:val="00AD2DCD"/>
    <w:rsid w:val="00AD2EB7"/>
    <w:rsid w:val="00AD2FD2"/>
    <w:rsid w:val="00AD3EDC"/>
    <w:rsid w:val="00AD46C1"/>
    <w:rsid w:val="00AD4B39"/>
    <w:rsid w:val="00AD4C3E"/>
    <w:rsid w:val="00AD4CF4"/>
    <w:rsid w:val="00AD53E3"/>
    <w:rsid w:val="00AD56B0"/>
    <w:rsid w:val="00AD5959"/>
    <w:rsid w:val="00AD5FCD"/>
    <w:rsid w:val="00AD61BA"/>
    <w:rsid w:val="00AD63D5"/>
    <w:rsid w:val="00AD6582"/>
    <w:rsid w:val="00AD6727"/>
    <w:rsid w:val="00AD67B1"/>
    <w:rsid w:val="00AD686F"/>
    <w:rsid w:val="00AD6C4A"/>
    <w:rsid w:val="00AD707E"/>
    <w:rsid w:val="00AD74BB"/>
    <w:rsid w:val="00AD79F0"/>
    <w:rsid w:val="00AD7E5D"/>
    <w:rsid w:val="00AE0009"/>
    <w:rsid w:val="00AE0039"/>
    <w:rsid w:val="00AE0275"/>
    <w:rsid w:val="00AE0927"/>
    <w:rsid w:val="00AE0DD2"/>
    <w:rsid w:val="00AE0DF0"/>
    <w:rsid w:val="00AE13CD"/>
    <w:rsid w:val="00AE1AAC"/>
    <w:rsid w:val="00AE1D9D"/>
    <w:rsid w:val="00AE205D"/>
    <w:rsid w:val="00AE2196"/>
    <w:rsid w:val="00AE21C8"/>
    <w:rsid w:val="00AE3A00"/>
    <w:rsid w:val="00AE3A3C"/>
    <w:rsid w:val="00AE3C86"/>
    <w:rsid w:val="00AE3F06"/>
    <w:rsid w:val="00AE4001"/>
    <w:rsid w:val="00AE42BC"/>
    <w:rsid w:val="00AE4929"/>
    <w:rsid w:val="00AE49C4"/>
    <w:rsid w:val="00AE56BE"/>
    <w:rsid w:val="00AE58D7"/>
    <w:rsid w:val="00AE58FB"/>
    <w:rsid w:val="00AE5F3F"/>
    <w:rsid w:val="00AE619A"/>
    <w:rsid w:val="00AE6487"/>
    <w:rsid w:val="00AE6581"/>
    <w:rsid w:val="00AE6D33"/>
    <w:rsid w:val="00AE7FC0"/>
    <w:rsid w:val="00AF0006"/>
    <w:rsid w:val="00AF069E"/>
    <w:rsid w:val="00AF0FCD"/>
    <w:rsid w:val="00AF13D6"/>
    <w:rsid w:val="00AF183D"/>
    <w:rsid w:val="00AF18F0"/>
    <w:rsid w:val="00AF1A62"/>
    <w:rsid w:val="00AF26EE"/>
    <w:rsid w:val="00AF2DA1"/>
    <w:rsid w:val="00AF2DAE"/>
    <w:rsid w:val="00AF382B"/>
    <w:rsid w:val="00AF39C0"/>
    <w:rsid w:val="00AF3A1E"/>
    <w:rsid w:val="00AF3C70"/>
    <w:rsid w:val="00AF4027"/>
    <w:rsid w:val="00AF412F"/>
    <w:rsid w:val="00AF44EC"/>
    <w:rsid w:val="00AF4520"/>
    <w:rsid w:val="00AF4A6F"/>
    <w:rsid w:val="00AF4E31"/>
    <w:rsid w:val="00AF5231"/>
    <w:rsid w:val="00AF56CB"/>
    <w:rsid w:val="00AF5986"/>
    <w:rsid w:val="00AF5B30"/>
    <w:rsid w:val="00AF5E13"/>
    <w:rsid w:val="00AF6006"/>
    <w:rsid w:val="00AF6762"/>
    <w:rsid w:val="00AF6EB7"/>
    <w:rsid w:val="00AF7740"/>
    <w:rsid w:val="00AF795A"/>
    <w:rsid w:val="00AF7D0A"/>
    <w:rsid w:val="00B0021B"/>
    <w:rsid w:val="00B002D3"/>
    <w:rsid w:val="00B004EB"/>
    <w:rsid w:val="00B00690"/>
    <w:rsid w:val="00B00BFA"/>
    <w:rsid w:val="00B00CA8"/>
    <w:rsid w:val="00B023B8"/>
    <w:rsid w:val="00B0287E"/>
    <w:rsid w:val="00B030AB"/>
    <w:rsid w:val="00B0333D"/>
    <w:rsid w:val="00B03D59"/>
    <w:rsid w:val="00B049F2"/>
    <w:rsid w:val="00B051BA"/>
    <w:rsid w:val="00B055A8"/>
    <w:rsid w:val="00B0586F"/>
    <w:rsid w:val="00B05C89"/>
    <w:rsid w:val="00B06128"/>
    <w:rsid w:val="00B06173"/>
    <w:rsid w:val="00B0644F"/>
    <w:rsid w:val="00B06C91"/>
    <w:rsid w:val="00B07AA3"/>
    <w:rsid w:val="00B07B18"/>
    <w:rsid w:val="00B10A79"/>
    <w:rsid w:val="00B10CA9"/>
    <w:rsid w:val="00B11159"/>
    <w:rsid w:val="00B11279"/>
    <w:rsid w:val="00B115DD"/>
    <w:rsid w:val="00B11AD7"/>
    <w:rsid w:val="00B11E6D"/>
    <w:rsid w:val="00B12051"/>
    <w:rsid w:val="00B12666"/>
    <w:rsid w:val="00B12803"/>
    <w:rsid w:val="00B1282C"/>
    <w:rsid w:val="00B12917"/>
    <w:rsid w:val="00B129F9"/>
    <w:rsid w:val="00B12B1A"/>
    <w:rsid w:val="00B12B22"/>
    <w:rsid w:val="00B12CCA"/>
    <w:rsid w:val="00B12CE5"/>
    <w:rsid w:val="00B12D44"/>
    <w:rsid w:val="00B137AD"/>
    <w:rsid w:val="00B13838"/>
    <w:rsid w:val="00B138A9"/>
    <w:rsid w:val="00B13B62"/>
    <w:rsid w:val="00B14103"/>
    <w:rsid w:val="00B144E4"/>
    <w:rsid w:val="00B14E99"/>
    <w:rsid w:val="00B153B6"/>
    <w:rsid w:val="00B1573B"/>
    <w:rsid w:val="00B15B18"/>
    <w:rsid w:val="00B15D74"/>
    <w:rsid w:val="00B16406"/>
    <w:rsid w:val="00B165C0"/>
    <w:rsid w:val="00B169A3"/>
    <w:rsid w:val="00B16BB9"/>
    <w:rsid w:val="00B16EDC"/>
    <w:rsid w:val="00B16F04"/>
    <w:rsid w:val="00B16F4D"/>
    <w:rsid w:val="00B17104"/>
    <w:rsid w:val="00B17405"/>
    <w:rsid w:val="00B17834"/>
    <w:rsid w:val="00B179CA"/>
    <w:rsid w:val="00B17CCA"/>
    <w:rsid w:val="00B17DD3"/>
    <w:rsid w:val="00B2056E"/>
    <w:rsid w:val="00B20746"/>
    <w:rsid w:val="00B208C3"/>
    <w:rsid w:val="00B20D71"/>
    <w:rsid w:val="00B21735"/>
    <w:rsid w:val="00B21F75"/>
    <w:rsid w:val="00B21F78"/>
    <w:rsid w:val="00B220FB"/>
    <w:rsid w:val="00B226A2"/>
    <w:rsid w:val="00B22A14"/>
    <w:rsid w:val="00B22B86"/>
    <w:rsid w:val="00B233B1"/>
    <w:rsid w:val="00B233ED"/>
    <w:rsid w:val="00B23518"/>
    <w:rsid w:val="00B2356B"/>
    <w:rsid w:val="00B23729"/>
    <w:rsid w:val="00B23A32"/>
    <w:rsid w:val="00B23A45"/>
    <w:rsid w:val="00B23CA9"/>
    <w:rsid w:val="00B241C1"/>
    <w:rsid w:val="00B2422A"/>
    <w:rsid w:val="00B24DAD"/>
    <w:rsid w:val="00B24EFE"/>
    <w:rsid w:val="00B2539C"/>
    <w:rsid w:val="00B25880"/>
    <w:rsid w:val="00B25B82"/>
    <w:rsid w:val="00B260DE"/>
    <w:rsid w:val="00B26246"/>
    <w:rsid w:val="00B2628D"/>
    <w:rsid w:val="00B2633B"/>
    <w:rsid w:val="00B26944"/>
    <w:rsid w:val="00B26AC1"/>
    <w:rsid w:val="00B26B70"/>
    <w:rsid w:val="00B26D13"/>
    <w:rsid w:val="00B27219"/>
    <w:rsid w:val="00B27225"/>
    <w:rsid w:val="00B279F9"/>
    <w:rsid w:val="00B27A30"/>
    <w:rsid w:val="00B27D20"/>
    <w:rsid w:val="00B27FC8"/>
    <w:rsid w:val="00B302E8"/>
    <w:rsid w:val="00B306D8"/>
    <w:rsid w:val="00B30B88"/>
    <w:rsid w:val="00B30E34"/>
    <w:rsid w:val="00B3102C"/>
    <w:rsid w:val="00B3131A"/>
    <w:rsid w:val="00B315E4"/>
    <w:rsid w:val="00B3184A"/>
    <w:rsid w:val="00B31A68"/>
    <w:rsid w:val="00B325C2"/>
    <w:rsid w:val="00B32811"/>
    <w:rsid w:val="00B32998"/>
    <w:rsid w:val="00B329CA"/>
    <w:rsid w:val="00B32CC3"/>
    <w:rsid w:val="00B32F98"/>
    <w:rsid w:val="00B332FA"/>
    <w:rsid w:val="00B333B5"/>
    <w:rsid w:val="00B33409"/>
    <w:rsid w:val="00B339B5"/>
    <w:rsid w:val="00B33B37"/>
    <w:rsid w:val="00B34248"/>
    <w:rsid w:val="00B345DD"/>
    <w:rsid w:val="00B345E6"/>
    <w:rsid w:val="00B34DE4"/>
    <w:rsid w:val="00B351DD"/>
    <w:rsid w:val="00B352CB"/>
    <w:rsid w:val="00B35737"/>
    <w:rsid w:val="00B35DDD"/>
    <w:rsid w:val="00B35F18"/>
    <w:rsid w:val="00B36095"/>
    <w:rsid w:val="00B364E6"/>
    <w:rsid w:val="00B368BA"/>
    <w:rsid w:val="00B36922"/>
    <w:rsid w:val="00B36FC3"/>
    <w:rsid w:val="00B37315"/>
    <w:rsid w:val="00B378A4"/>
    <w:rsid w:val="00B379EE"/>
    <w:rsid w:val="00B37A59"/>
    <w:rsid w:val="00B37A7E"/>
    <w:rsid w:val="00B37F32"/>
    <w:rsid w:val="00B4004F"/>
    <w:rsid w:val="00B4007A"/>
    <w:rsid w:val="00B40443"/>
    <w:rsid w:val="00B40467"/>
    <w:rsid w:val="00B407C4"/>
    <w:rsid w:val="00B408BB"/>
    <w:rsid w:val="00B408E1"/>
    <w:rsid w:val="00B40ACA"/>
    <w:rsid w:val="00B40DC9"/>
    <w:rsid w:val="00B40EDD"/>
    <w:rsid w:val="00B40F78"/>
    <w:rsid w:val="00B410FE"/>
    <w:rsid w:val="00B41488"/>
    <w:rsid w:val="00B4163C"/>
    <w:rsid w:val="00B41A1F"/>
    <w:rsid w:val="00B41A7D"/>
    <w:rsid w:val="00B42240"/>
    <w:rsid w:val="00B4285A"/>
    <w:rsid w:val="00B42863"/>
    <w:rsid w:val="00B42A46"/>
    <w:rsid w:val="00B42BC5"/>
    <w:rsid w:val="00B42C88"/>
    <w:rsid w:val="00B43190"/>
    <w:rsid w:val="00B43643"/>
    <w:rsid w:val="00B438B9"/>
    <w:rsid w:val="00B43CC0"/>
    <w:rsid w:val="00B44325"/>
    <w:rsid w:val="00B44372"/>
    <w:rsid w:val="00B445E2"/>
    <w:rsid w:val="00B44A63"/>
    <w:rsid w:val="00B44C0E"/>
    <w:rsid w:val="00B44C65"/>
    <w:rsid w:val="00B451FB"/>
    <w:rsid w:val="00B45A66"/>
    <w:rsid w:val="00B45C83"/>
    <w:rsid w:val="00B46576"/>
    <w:rsid w:val="00B46A92"/>
    <w:rsid w:val="00B46A9D"/>
    <w:rsid w:val="00B46B39"/>
    <w:rsid w:val="00B46F60"/>
    <w:rsid w:val="00B47382"/>
    <w:rsid w:val="00B47CE5"/>
    <w:rsid w:val="00B50BFB"/>
    <w:rsid w:val="00B50C57"/>
    <w:rsid w:val="00B516B7"/>
    <w:rsid w:val="00B51721"/>
    <w:rsid w:val="00B51CF1"/>
    <w:rsid w:val="00B51E1E"/>
    <w:rsid w:val="00B52186"/>
    <w:rsid w:val="00B52AA4"/>
    <w:rsid w:val="00B533A7"/>
    <w:rsid w:val="00B533ED"/>
    <w:rsid w:val="00B53559"/>
    <w:rsid w:val="00B5396A"/>
    <w:rsid w:val="00B53CFF"/>
    <w:rsid w:val="00B54618"/>
    <w:rsid w:val="00B549A4"/>
    <w:rsid w:val="00B54C1C"/>
    <w:rsid w:val="00B54DB1"/>
    <w:rsid w:val="00B54E36"/>
    <w:rsid w:val="00B54F44"/>
    <w:rsid w:val="00B54FAA"/>
    <w:rsid w:val="00B54FC2"/>
    <w:rsid w:val="00B550D2"/>
    <w:rsid w:val="00B55251"/>
    <w:rsid w:val="00B55645"/>
    <w:rsid w:val="00B558DF"/>
    <w:rsid w:val="00B55CF2"/>
    <w:rsid w:val="00B55E94"/>
    <w:rsid w:val="00B5602A"/>
    <w:rsid w:val="00B5608D"/>
    <w:rsid w:val="00B56326"/>
    <w:rsid w:val="00B56438"/>
    <w:rsid w:val="00B565E9"/>
    <w:rsid w:val="00B56BA8"/>
    <w:rsid w:val="00B56BC0"/>
    <w:rsid w:val="00B56C2F"/>
    <w:rsid w:val="00B572CA"/>
    <w:rsid w:val="00B5782A"/>
    <w:rsid w:val="00B578A6"/>
    <w:rsid w:val="00B57B6F"/>
    <w:rsid w:val="00B60641"/>
    <w:rsid w:val="00B60AC5"/>
    <w:rsid w:val="00B60BB7"/>
    <w:rsid w:val="00B60C25"/>
    <w:rsid w:val="00B60D8C"/>
    <w:rsid w:val="00B61141"/>
    <w:rsid w:val="00B61152"/>
    <w:rsid w:val="00B614C4"/>
    <w:rsid w:val="00B61785"/>
    <w:rsid w:val="00B61940"/>
    <w:rsid w:val="00B61A3E"/>
    <w:rsid w:val="00B61C7D"/>
    <w:rsid w:val="00B62067"/>
    <w:rsid w:val="00B628A6"/>
    <w:rsid w:val="00B62CA6"/>
    <w:rsid w:val="00B62D10"/>
    <w:rsid w:val="00B63191"/>
    <w:rsid w:val="00B63254"/>
    <w:rsid w:val="00B641E4"/>
    <w:rsid w:val="00B64D4D"/>
    <w:rsid w:val="00B64FBA"/>
    <w:rsid w:val="00B65311"/>
    <w:rsid w:val="00B6557F"/>
    <w:rsid w:val="00B65614"/>
    <w:rsid w:val="00B657F9"/>
    <w:rsid w:val="00B65FC1"/>
    <w:rsid w:val="00B661F0"/>
    <w:rsid w:val="00B662CE"/>
    <w:rsid w:val="00B6642E"/>
    <w:rsid w:val="00B66535"/>
    <w:rsid w:val="00B6653E"/>
    <w:rsid w:val="00B6732B"/>
    <w:rsid w:val="00B67394"/>
    <w:rsid w:val="00B67A83"/>
    <w:rsid w:val="00B67BD0"/>
    <w:rsid w:val="00B67C1E"/>
    <w:rsid w:val="00B67FA7"/>
    <w:rsid w:val="00B700EE"/>
    <w:rsid w:val="00B70381"/>
    <w:rsid w:val="00B70415"/>
    <w:rsid w:val="00B709C7"/>
    <w:rsid w:val="00B70A70"/>
    <w:rsid w:val="00B70AE5"/>
    <w:rsid w:val="00B7113E"/>
    <w:rsid w:val="00B71532"/>
    <w:rsid w:val="00B715F3"/>
    <w:rsid w:val="00B718D6"/>
    <w:rsid w:val="00B719FB"/>
    <w:rsid w:val="00B71FBA"/>
    <w:rsid w:val="00B71FD1"/>
    <w:rsid w:val="00B7209A"/>
    <w:rsid w:val="00B722F0"/>
    <w:rsid w:val="00B7292D"/>
    <w:rsid w:val="00B7297D"/>
    <w:rsid w:val="00B73764"/>
    <w:rsid w:val="00B73C34"/>
    <w:rsid w:val="00B73F79"/>
    <w:rsid w:val="00B73FDB"/>
    <w:rsid w:val="00B74511"/>
    <w:rsid w:val="00B74633"/>
    <w:rsid w:val="00B74767"/>
    <w:rsid w:val="00B74996"/>
    <w:rsid w:val="00B74ABE"/>
    <w:rsid w:val="00B74B54"/>
    <w:rsid w:val="00B74DD1"/>
    <w:rsid w:val="00B74FF3"/>
    <w:rsid w:val="00B75127"/>
    <w:rsid w:val="00B751C3"/>
    <w:rsid w:val="00B757AD"/>
    <w:rsid w:val="00B75CBE"/>
    <w:rsid w:val="00B75DF0"/>
    <w:rsid w:val="00B75F04"/>
    <w:rsid w:val="00B76085"/>
    <w:rsid w:val="00B76821"/>
    <w:rsid w:val="00B76858"/>
    <w:rsid w:val="00B76953"/>
    <w:rsid w:val="00B76A82"/>
    <w:rsid w:val="00B76AD0"/>
    <w:rsid w:val="00B77191"/>
    <w:rsid w:val="00B77315"/>
    <w:rsid w:val="00B77453"/>
    <w:rsid w:val="00B774CF"/>
    <w:rsid w:val="00B7796A"/>
    <w:rsid w:val="00B77B56"/>
    <w:rsid w:val="00B8042C"/>
    <w:rsid w:val="00B8079B"/>
    <w:rsid w:val="00B80C4C"/>
    <w:rsid w:val="00B80DE6"/>
    <w:rsid w:val="00B80E0C"/>
    <w:rsid w:val="00B81069"/>
    <w:rsid w:val="00B81146"/>
    <w:rsid w:val="00B81DE3"/>
    <w:rsid w:val="00B81E03"/>
    <w:rsid w:val="00B82078"/>
    <w:rsid w:val="00B82390"/>
    <w:rsid w:val="00B82481"/>
    <w:rsid w:val="00B824B4"/>
    <w:rsid w:val="00B827C5"/>
    <w:rsid w:val="00B83144"/>
    <w:rsid w:val="00B8325F"/>
    <w:rsid w:val="00B83669"/>
    <w:rsid w:val="00B8369E"/>
    <w:rsid w:val="00B83A07"/>
    <w:rsid w:val="00B83DA7"/>
    <w:rsid w:val="00B84144"/>
    <w:rsid w:val="00B8421D"/>
    <w:rsid w:val="00B84223"/>
    <w:rsid w:val="00B84510"/>
    <w:rsid w:val="00B846C2"/>
    <w:rsid w:val="00B84E64"/>
    <w:rsid w:val="00B84EAF"/>
    <w:rsid w:val="00B8543B"/>
    <w:rsid w:val="00B85936"/>
    <w:rsid w:val="00B85F84"/>
    <w:rsid w:val="00B86091"/>
    <w:rsid w:val="00B8622D"/>
    <w:rsid w:val="00B8642B"/>
    <w:rsid w:val="00B86492"/>
    <w:rsid w:val="00B87016"/>
    <w:rsid w:val="00B873E3"/>
    <w:rsid w:val="00B87A2A"/>
    <w:rsid w:val="00B87EC8"/>
    <w:rsid w:val="00B9093C"/>
    <w:rsid w:val="00B909EF"/>
    <w:rsid w:val="00B90AC9"/>
    <w:rsid w:val="00B91420"/>
    <w:rsid w:val="00B9166C"/>
    <w:rsid w:val="00B91C5A"/>
    <w:rsid w:val="00B91F05"/>
    <w:rsid w:val="00B9201A"/>
    <w:rsid w:val="00B9216B"/>
    <w:rsid w:val="00B923D8"/>
    <w:rsid w:val="00B92EC3"/>
    <w:rsid w:val="00B92F5B"/>
    <w:rsid w:val="00B931F4"/>
    <w:rsid w:val="00B9389F"/>
    <w:rsid w:val="00B93DB7"/>
    <w:rsid w:val="00B93F78"/>
    <w:rsid w:val="00B9402C"/>
    <w:rsid w:val="00B94151"/>
    <w:rsid w:val="00B9462F"/>
    <w:rsid w:val="00B94679"/>
    <w:rsid w:val="00B9469A"/>
    <w:rsid w:val="00B94AB0"/>
    <w:rsid w:val="00B94B15"/>
    <w:rsid w:val="00B94E44"/>
    <w:rsid w:val="00B954AB"/>
    <w:rsid w:val="00B95C10"/>
    <w:rsid w:val="00B969FA"/>
    <w:rsid w:val="00B96B27"/>
    <w:rsid w:val="00B96F60"/>
    <w:rsid w:val="00B970B5"/>
    <w:rsid w:val="00B972DB"/>
    <w:rsid w:val="00B974D9"/>
    <w:rsid w:val="00B97592"/>
    <w:rsid w:val="00B9787C"/>
    <w:rsid w:val="00B97910"/>
    <w:rsid w:val="00B97BF0"/>
    <w:rsid w:val="00BA039C"/>
    <w:rsid w:val="00BA05FD"/>
    <w:rsid w:val="00BA0850"/>
    <w:rsid w:val="00BA0AD5"/>
    <w:rsid w:val="00BA0B16"/>
    <w:rsid w:val="00BA0DD6"/>
    <w:rsid w:val="00BA2049"/>
    <w:rsid w:val="00BA2465"/>
    <w:rsid w:val="00BA25ED"/>
    <w:rsid w:val="00BA27E1"/>
    <w:rsid w:val="00BA3D6A"/>
    <w:rsid w:val="00BA3E37"/>
    <w:rsid w:val="00BA4002"/>
    <w:rsid w:val="00BA4A87"/>
    <w:rsid w:val="00BA5015"/>
    <w:rsid w:val="00BA5233"/>
    <w:rsid w:val="00BA5312"/>
    <w:rsid w:val="00BA58E8"/>
    <w:rsid w:val="00BA6051"/>
    <w:rsid w:val="00BA63A8"/>
    <w:rsid w:val="00BA67CD"/>
    <w:rsid w:val="00BA6A42"/>
    <w:rsid w:val="00BA6E7A"/>
    <w:rsid w:val="00BA7BFD"/>
    <w:rsid w:val="00BA7F9F"/>
    <w:rsid w:val="00BB0AAC"/>
    <w:rsid w:val="00BB0C2D"/>
    <w:rsid w:val="00BB126E"/>
    <w:rsid w:val="00BB12EF"/>
    <w:rsid w:val="00BB140F"/>
    <w:rsid w:val="00BB1441"/>
    <w:rsid w:val="00BB1520"/>
    <w:rsid w:val="00BB174C"/>
    <w:rsid w:val="00BB1C84"/>
    <w:rsid w:val="00BB200A"/>
    <w:rsid w:val="00BB21E1"/>
    <w:rsid w:val="00BB2646"/>
    <w:rsid w:val="00BB2BE7"/>
    <w:rsid w:val="00BB2E25"/>
    <w:rsid w:val="00BB30AE"/>
    <w:rsid w:val="00BB323A"/>
    <w:rsid w:val="00BB36A8"/>
    <w:rsid w:val="00BB45C2"/>
    <w:rsid w:val="00BB4DE4"/>
    <w:rsid w:val="00BB5482"/>
    <w:rsid w:val="00BB622B"/>
    <w:rsid w:val="00BB6367"/>
    <w:rsid w:val="00BB6492"/>
    <w:rsid w:val="00BB708D"/>
    <w:rsid w:val="00BB7F5E"/>
    <w:rsid w:val="00BC04BD"/>
    <w:rsid w:val="00BC0629"/>
    <w:rsid w:val="00BC0DD7"/>
    <w:rsid w:val="00BC11F2"/>
    <w:rsid w:val="00BC1231"/>
    <w:rsid w:val="00BC13F0"/>
    <w:rsid w:val="00BC1639"/>
    <w:rsid w:val="00BC1D4E"/>
    <w:rsid w:val="00BC24F4"/>
    <w:rsid w:val="00BC2EC0"/>
    <w:rsid w:val="00BC2F43"/>
    <w:rsid w:val="00BC31B5"/>
    <w:rsid w:val="00BC32D5"/>
    <w:rsid w:val="00BC351E"/>
    <w:rsid w:val="00BC4558"/>
    <w:rsid w:val="00BC488A"/>
    <w:rsid w:val="00BC4990"/>
    <w:rsid w:val="00BC49F7"/>
    <w:rsid w:val="00BC4B60"/>
    <w:rsid w:val="00BC4BD6"/>
    <w:rsid w:val="00BC4E12"/>
    <w:rsid w:val="00BC59DD"/>
    <w:rsid w:val="00BC6628"/>
    <w:rsid w:val="00BC6C4A"/>
    <w:rsid w:val="00BC6E52"/>
    <w:rsid w:val="00BC6EE6"/>
    <w:rsid w:val="00BC737F"/>
    <w:rsid w:val="00BC73AE"/>
    <w:rsid w:val="00BC74AB"/>
    <w:rsid w:val="00BC7990"/>
    <w:rsid w:val="00BC7C1C"/>
    <w:rsid w:val="00BD007C"/>
    <w:rsid w:val="00BD02FE"/>
    <w:rsid w:val="00BD05DE"/>
    <w:rsid w:val="00BD06F9"/>
    <w:rsid w:val="00BD09B6"/>
    <w:rsid w:val="00BD0F87"/>
    <w:rsid w:val="00BD11BB"/>
    <w:rsid w:val="00BD164A"/>
    <w:rsid w:val="00BD1710"/>
    <w:rsid w:val="00BD1A34"/>
    <w:rsid w:val="00BD1A4E"/>
    <w:rsid w:val="00BD2109"/>
    <w:rsid w:val="00BD21CA"/>
    <w:rsid w:val="00BD2565"/>
    <w:rsid w:val="00BD2BC2"/>
    <w:rsid w:val="00BD2C8F"/>
    <w:rsid w:val="00BD3338"/>
    <w:rsid w:val="00BD3682"/>
    <w:rsid w:val="00BD388E"/>
    <w:rsid w:val="00BD3AB7"/>
    <w:rsid w:val="00BD3FEB"/>
    <w:rsid w:val="00BD4088"/>
    <w:rsid w:val="00BD45A8"/>
    <w:rsid w:val="00BD461E"/>
    <w:rsid w:val="00BD4928"/>
    <w:rsid w:val="00BD4949"/>
    <w:rsid w:val="00BD4A05"/>
    <w:rsid w:val="00BD4B50"/>
    <w:rsid w:val="00BD4BBF"/>
    <w:rsid w:val="00BD4E47"/>
    <w:rsid w:val="00BD514E"/>
    <w:rsid w:val="00BD52B5"/>
    <w:rsid w:val="00BD53ED"/>
    <w:rsid w:val="00BD5BC1"/>
    <w:rsid w:val="00BD5C41"/>
    <w:rsid w:val="00BD5ECD"/>
    <w:rsid w:val="00BD60E6"/>
    <w:rsid w:val="00BD6677"/>
    <w:rsid w:val="00BD6B76"/>
    <w:rsid w:val="00BD6E10"/>
    <w:rsid w:val="00BD7622"/>
    <w:rsid w:val="00BD77ED"/>
    <w:rsid w:val="00BD781E"/>
    <w:rsid w:val="00BD78CE"/>
    <w:rsid w:val="00BD7BFC"/>
    <w:rsid w:val="00BD7CE1"/>
    <w:rsid w:val="00BE01FC"/>
    <w:rsid w:val="00BE0A7D"/>
    <w:rsid w:val="00BE0EF0"/>
    <w:rsid w:val="00BE16A3"/>
    <w:rsid w:val="00BE183E"/>
    <w:rsid w:val="00BE1C47"/>
    <w:rsid w:val="00BE1CF1"/>
    <w:rsid w:val="00BE1F11"/>
    <w:rsid w:val="00BE2E69"/>
    <w:rsid w:val="00BE3599"/>
    <w:rsid w:val="00BE3920"/>
    <w:rsid w:val="00BE3A77"/>
    <w:rsid w:val="00BE3ED6"/>
    <w:rsid w:val="00BE4B48"/>
    <w:rsid w:val="00BE510E"/>
    <w:rsid w:val="00BE5780"/>
    <w:rsid w:val="00BE6283"/>
    <w:rsid w:val="00BE74B6"/>
    <w:rsid w:val="00BE7AB9"/>
    <w:rsid w:val="00BE7BF5"/>
    <w:rsid w:val="00BE7D07"/>
    <w:rsid w:val="00BF0528"/>
    <w:rsid w:val="00BF0A3D"/>
    <w:rsid w:val="00BF1017"/>
    <w:rsid w:val="00BF1544"/>
    <w:rsid w:val="00BF1777"/>
    <w:rsid w:val="00BF17B6"/>
    <w:rsid w:val="00BF1FAE"/>
    <w:rsid w:val="00BF20F1"/>
    <w:rsid w:val="00BF22B1"/>
    <w:rsid w:val="00BF22C5"/>
    <w:rsid w:val="00BF25BD"/>
    <w:rsid w:val="00BF2D84"/>
    <w:rsid w:val="00BF35A7"/>
    <w:rsid w:val="00BF369E"/>
    <w:rsid w:val="00BF36CC"/>
    <w:rsid w:val="00BF3759"/>
    <w:rsid w:val="00BF3AC3"/>
    <w:rsid w:val="00BF3AED"/>
    <w:rsid w:val="00BF3C46"/>
    <w:rsid w:val="00BF3C79"/>
    <w:rsid w:val="00BF3E7F"/>
    <w:rsid w:val="00BF416A"/>
    <w:rsid w:val="00BF4A6F"/>
    <w:rsid w:val="00BF4A88"/>
    <w:rsid w:val="00BF4B0A"/>
    <w:rsid w:val="00BF4E2B"/>
    <w:rsid w:val="00BF51A1"/>
    <w:rsid w:val="00BF53F2"/>
    <w:rsid w:val="00BF5968"/>
    <w:rsid w:val="00BF633B"/>
    <w:rsid w:val="00BF66E4"/>
    <w:rsid w:val="00BF67B6"/>
    <w:rsid w:val="00BF67DE"/>
    <w:rsid w:val="00BF6808"/>
    <w:rsid w:val="00BF6B5A"/>
    <w:rsid w:val="00BF6F30"/>
    <w:rsid w:val="00BF70D8"/>
    <w:rsid w:val="00BF740D"/>
    <w:rsid w:val="00BF7790"/>
    <w:rsid w:val="00BF7A9D"/>
    <w:rsid w:val="00BF7C03"/>
    <w:rsid w:val="00C00044"/>
    <w:rsid w:val="00C00136"/>
    <w:rsid w:val="00C003E5"/>
    <w:rsid w:val="00C00A95"/>
    <w:rsid w:val="00C00CC4"/>
    <w:rsid w:val="00C01479"/>
    <w:rsid w:val="00C01588"/>
    <w:rsid w:val="00C017BC"/>
    <w:rsid w:val="00C019BF"/>
    <w:rsid w:val="00C01A1C"/>
    <w:rsid w:val="00C01B49"/>
    <w:rsid w:val="00C01C6D"/>
    <w:rsid w:val="00C02401"/>
    <w:rsid w:val="00C02728"/>
    <w:rsid w:val="00C030E6"/>
    <w:rsid w:val="00C0330E"/>
    <w:rsid w:val="00C03672"/>
    <w:rsid w:val="00C03C0D"/>
    <w:rsid w:val="00C03C12"/>
    <w:rsid w:val="00C049A2"/>
    <w:rsid w:val="00C049B5"/>
    <w:rsid w:val="00C04A11"/>
    <w:rsid w:val="00C04BAC"/>
    <w:rsid w:val="00C04DC1"/>
    <w:rsid w:val="00C0512E"/>
    <w:rsid w:val="00C05791"/>
    <w:rsid w:val="00C063FD"/>
    <w:rsid w:val="00C065D8"/>
    <w:rsid w:val="00C06918"/>
    <w:rsid w:val="00C06C21"/>
    <w:rsid w:val="00C0713F"/>
    <w:rsid w:val="00C074D9"/>
    <w:rsid w:val="00C07891"/>
    <w:rsid w:val="00C07AB7"/>
    <w:rsid w:val="00C07F11"/>
    <w:rsid w:val="00C111EE"/>
    <w:rsid w:val="00C1130C"/>
    <w:rsid w:val="00C1175A"/>
    <w:rsid w:val="00C1189F"/>
    <w:rsid w:val="00C119FA"/>
    <w:rsid w:val="00C11CDC"/>
    <w:rsid w:val="00C12430"/>
    <w:rsid w:val="00C1291F"/>
    <w:rsid w:val="00C131DD"/>
    <w:rsid w:val="00C13200"/>
    <w:rsid w:val="00C13B8E"/>
    <w:rsid w:val="00C13CF0"/>
    <w:rsid w:val="00C13F91"/>
    <w:rsid w:val="00C13FA6"/>
    <w:rsid w:val="00C140D1"/>
    <w:rsid w:val="00C14947"/>
    <w:rsid w:val="00C14EDE"/>
    <w:rsid w:val="00C16971"/>
    <w:rsid w:val="00C17527"/>
    <w:rsid w:val="00C176AD"/>
    <w:rsid w:val="00C17FF1"/>
    <w:rsid w:val="00C20431"/>
    <w:rsid w:val="00C2153B"/>
    <w:rsid w:val="00C2158B"/>
    <w:rsid w:val="00C215CE"/>
    <w:rsid w:val="00C21CE8"/>
    <w:rsid w:val="00C21D5E"/>
    <w:rsid w:val="00C21FB2"/>
    <w:rsid w:val="00C22427"/>
    <w:rsid w:val="00C22A3A"/>
    <w:rsid w:val="00C22B3D"/>
    <w:rsid w:val="00C22BBB"/>
    <w:rsid w:val="00C22F96"/>
    <w:rsid w:val="00C231A2"/>
    <w:rsid w:val="00C23550"/>
    <w:rsid w:val="00C23A87"/>
    <w:rsid w:val="00C23BF8"/>
    <w:rsid w:val="00C23ED2"/>
    <w:rsid w:val="00C245B8"/>
    <w:rsid w:val="00C249C5"/>
    <w:rsid w:val="00C24A86"/>
    <w:rsid w:val="00C25470"/>
    <w:rsid w:val="00C25AF1"/>
    <w:rsid w:val="00C25CDD"/>
    <w:rsid w:val="00C26551"/>
    <w:rsid w:val="00C26780"/>
    <w:rsid w:val="00C26D76"/>
    <w:rsid w:val="00C27216"/>
    <w:rsid w:val="00C27292"/>
    <w:rsid w:val="00C2733E"/>
    <w:rsid w:val="00C27E66"/>
    <w:rsid w:val="00C3006A"/>
    <w:rsid w:val="00C30736"/>
    <w:rsid w:val="00C31159"/>
    <w:rsid w:val="00C311F7"/>
    <w:rsid w:val="00C31318"/>
    <w:rsid w:val="00C31715"/>
    <w:rsid w:val="00C317C5"/>
    <w:rsid w:val="00C319B0"/>
    <w:rsid w:val="00C31ADC"/>
    <w:rsid w:val="00C31B95"/>
    <w:rsid w:val="00C31E1A"/>
    <w:rsid w:val="00C31EBF"/>
    <w:rsid w:val="00C321E9"/>
    <w:rsid w:val="00C3250B"/>
    <w:rsid w:val="00C3289E"/>
    <w:rsid w:val="00C328BE"/>
    <w:rsid w:val="00C33400"/>
    <w:rsid w:val="00C3364A"/>
    <w:rsid w:val="00C33C86"/>
    <w:rsid w:val="00C34429"/>
    <w:rsid w:val="00C34644"/>
    <w:rsid w:val="00C34EB1"/>
    <w:rsid w:val="00C34ECE"/>
    <w:rsid w:val="00C35D67"/>
    <w:rsid w:val="00C3606B"/>
    <w:rsid w:val="00C3630D"/>
    <w:rsid w:val="00C36CBF"/>
    <w:rsid w:val="00C37BEF"/>
    <w:rsid w:val="00C37E48"/>
    <w:rsid w:val="00C37E97"/>
    <w:rsid w:val="00C4012D"/>
    <w:rsid w:val="00C406F9"/>
    <w:rsid w:val="00C410E6"/>
    <w:rsid w:val="00C41101"/>
    <w:rsid w:val="00C41683"/>
    <w:rsid w:val="00C417BC"/>
    <w:rsid w:val="00C418B3"/>
    <w:rsid w:val="00C41921"/>
    <w:rsid w:val="00C41B00"/>
    <w:rsid w:val="00C42281"/>
    <w:rsid w:val="00C425B6"/>
    <w:rsid w:val="00C4261F"/>
    <w:rsid w:val="00C426A8"/>
    <w:rsid w:val="00C42702"/>
    <w:rsid w:val="00C4274F"/>
    <w:rsid w:val="00C42D3C"/>
    <w:rsid w:val="00C43017"/>
    <w:rsid w:val="00C436EC"/>
    <w:rsid w:val="00C43711"/>
    <w:rsid w:val="00C437EB"/>
    <w:rsid w:val="00C438DC"/>
    <w:rsid w:val="00C44209"/>
    <w:rsid w:val="00C44A33"/>
    <w:rsid w:val="00C44D96"/>
    <w:rsid w:val="00C44DC2"/>
    <w:rsid w:val="00C44F1B"/>
    <w:rsid w:val="00C452A8"/>
    <w:rsid w:val="00C456B7"/>
    <w:rsid w:val="00C45702"/>
    <w:rsid w:val="00C4587E"/>
    <w:rsid w:val="00C45CA1"/>
    <w:rsid w:val="00C45FE5"/>
    <w:rsid w:val="00C4607B"/>
    <w:rsid w:val="00C47434"/>
    <w:rsid w:val="00C47446"/>
    <w:rsid w:val="00C476F6"/>
    <w:rsid w:val="00C4787D"/>
    <w:rsid w:val="00C47E69"/>
    <w:rsid w:val="00C501D9"/>
    <w:rsid w:val="00C50406"/>
    <w:rsid w:val="00C50BE4"/>
    <w:rsid w:val="00C50C33"/>
    <w:rsid w:val="00C5101F"/>
    <w:rsid w:val="00C51B7B"/>
    <w:rsid w:val="00C51C06"/>
    <w:rsid w:val="00C51F3C"/>
    <w:rsid w:val="00C520B8"/>
    <w:rsid w:val="00C521CC"/>
    <w:rsid w:val="00C52695"/>
    <w:rsid w:val="00C5399E"/>
    <w:rsid w:val="00C539B5"/>
    <w:rsid w:val="00C53B75"/>
    <w:rsid w:val="00C53C62"/>
    <w:rsid w:val="00C53EBC"/>
    <w:rsid w:val="00C54165"/>
    <w:rsid w:val="00C541E2"/>
    <w:rsid w:val="00C54D0F"/>
    <w:rsid w:val="00C552E0"/>
    <w:rsid w:val="00C55338"/>
    <w:rsid w:val="00C555E7"/>
    <w:rsid w:val="00C5561E"/>
    <w:rsid w:val="00C55EB6"/>
    <w:rsid w:val="00C564B8"/>
    <w:rsid w:val="00C566FC"/>
    <w:rsid w:val="00C567CA"/>
    <w:rsid w:val="00C56F59"/>
    <w:rsid w:val="00C5707B"/>
    <w:rsid w:val="00C57220"/>
    <w:rsid w:val="00C577D4"/>
    <w:rsid w:val="00C57827"/>
    <w:rsid w:val="00C5791B"/>
    <w:rsid w:val="00C57B19"/>
    <w:rsid w:val="00C57BD9"/>
    <w:rsid w:val="00C607C3"/>
    <w:rsid w:val="00C609D7"/>
    <w:rsid w:val="00C60FB7"/>
    <w:rsid w:val="00C6110B"/>
    <w:rsid w:val="00C6118D"/>
    <w:rsid w:val="00C612E8"/>
    <w:rsid w:val="00C613F5"/>
    <w:rsid w:val="00C617EF"/>
    <w:rsid w:val="00C619DA"/>
    <w:rsid w:val="00C619EF"/>
    <w:rsid w:val="00C61C01"/>
    <w:rsid w:val="00C61F8E"/>
    <w:rsid w:val="00C625C8"/>
    <w:rsid w:val="00C62739"/>
    <w:rsid w:val="00C6280E"/>
    <w:rsid w:val="00C62A2A"/>
    <w:rsid w:val="00C62A81"/>
    <w:rsid w:val="00C62B58"/>
    <w:rsid w:val="00C62FB7"/>
    <w:rsid w:val="00C632D5"/>
    <w:rsid w:val="00C6385C"/>
    <w:rsid w:val="00C64161"/>
    <w:rsid w:val="00C646DF"/>
    <w:rsid w:val="00C64744"/>
    <w:rsid w:val="00C64C88"/>
    <w:rsid w:val="00C64FAE"/>
    <w:rsid w:val="00C65236"/>
    <w:rsid w:val="00C656A3"/>
    <w:rsid w:val="00C65722"/>
    <w:rsid w:val="00C65F8F"/>
    <w:rsid w:val="00C6704A"/>
    <w:rsid w:val="00C67209"/>
    <w:rsid w:val="00C6759E"/>
    <w:rsid w:val="00C67CE6"/>
    <w:rsid w:val="00C7000C"/>
    <w:rsid w:val="00C70045"/>
    <w:rsid w:val="00C705BD"/>
    <w:rsid w:val="00C70A4E"/>
    <w:rsid w:val="00C7106A"/>
    <w:rsid w:val="00C714F5"/>
    <w:rsid w:val="00C71717"/>
    <w:rsid w:val="00C71786"/>
    <w:rsid w:val="00C71BD0"/>
    <w:rsid w:val="00C71E4A"/>
    <w:rsid w:val="00C71E52"/>
    <w:rsid w:val="00C721A7"/>
    <w:rsid w:val="00C728CF"/>
    <w:rsid w:val="00C731DB"/>
    <w:rsid w:val="00C73323"/>
    <w:rsid w:val="00C73666"/>
    <w:rsid w:val="00C738AD"/>
    <w:rsid w:val="00C73AFD"/>
    <w:rsid w:val="00C73C9F"/>
    <w:rsid w:val="00C73D81"/>
    <w:rsid w:val="00C74093"/>
    <w:rsid w:val="00C742C1"/>
    <w:rsid w:val="00C74831"/>
    <w:rsid w:val="00C74A2B"/>
    <w:rsid w:val="00C74A69"/>
    <w:rsid w:val="00C74AB8"/>
    <w:rsid w:val="00C74BE8"/>
    <w:rsid w:val="00C7506E"/>
    <w:rsid w:val="00C75731"/>
    <w:rsid w:val="00C75ECC"/>
    <w:rsid w:val="00C75F84"/>
    <w:rsid w:val="00C761F0"/>
    <w:rsid w:val="00C7653C"/>
    <w:rsid w:val="00C766C4"/>
    <w:rsid w:val="00C7676C"/>
    <w:rsid w:val="00C76BAC"/>
    <w:rsid w:val="00C76FD4"/>
    <w:rsid w:val="00C77253"/>
    <w:rsid w:val="00C778B9"/>
    <w:rsid w:val="00C77991"/>
    <w:rsid w:val="00C779A1"/>
    <w:rsid w:val="00C779C3"/>
    <w:rsid w:val="00C77E60"/>
    <w:rsid w:val="00C77EC2"/>
    <w:rsid w:val="00C80354"/>
    <w:rsid w:val="00C80E37"/>
    <w:rsid w:val="00C80F6E"/>
    <w:rsid w:val="00C81349"/>
    <w:rsid w:val="00C8160C"/>
    <w:rsid w:val="00C816DB"/>
    <w:rsid w:val="00C81783"/>
    <w:rsid w:val="00C8179C"/>
    <w:rsid w:val="00C81BAD"/>
    <w:rsid w:val="00C81CFE"/>
    <w:rsid w:val="00C8238C"/>
    <w:rsid w:val="00C8239E"/>
    <w:rsid w:val="00C829E6"/>
    <w:rsid w:val="00C83411"/>
    <w:rsid w:val="00C8358F"/>
    <w:rsid w:val="00C843CE"/>
    <w:rsid w:val="00C84417"/>
    <w:rsid w:val="00C848A6"/>
    <w:rsid w:val="00C84974"/>
    <w:rsid w:val="00C84DE6"/>
    <w:rsid w:val="00C85584"/>
    <w:rsid w:val="00C855C7"/>
    <w:rsid w:val="00C85623"/>
    <w:rsid w:val="00C86131"/>
    <w:rsid w:val="00C86140"/>
    <w:rsid w:val="00C8623E"/>
    <w:rsid w:val="00C8658B"/>
    <w:rsid w:val="00C8685B"/>
    <w:rsid w:val="00C868E3"/>
    <w:rsid w:val="00C86B86"/>
    <w:rsid w:val="00C86ED4"/>
    <w:rsid w:val="00C87174"/>
    <w:rsid w:val="00C871D1"/>
    <w:rsid w:val="00C87516"/>
    <w:rsid w:val="00C87537"/>
    <w:rsid w:val="00C87578"/>
    <w:rsid w:val="00C876A1"/>
    <w:rsid w:val="00C90464"/>
    <w:rsid w:val="00C90852"/>
    <w:rsid w:val="00C9096D"/>
    <w:rsid w:val="00C90B64"/>
    <w:rsid w:val="00C90D4B"/>
    <w:rsid w:val="00C9242A"/>
    <w:rsid w:val="00C92ED3"/>
    <w:rsid w:val="00C93286"/>
    <w:rsid w:val="00C93521"/>
    <w:rsid w:val="00C9389F"/>
    <w:rsid w:val="00C942AF"/>
    <w:rsid w:val="00C942FD"/>
    <w:rsid w:val="00C943CD"/>
    <w:rsid w:val="00C943E3"/>
    <w:rsid w:val="00C948FB"/>
    <w:rsid w:val="00C94C24"/>
    <w:rsid w:val="00C94C98"/>
    <w:rsid w:val="00C94E1E"/>
    <w:rsid w:val="00C9510F"/>
    <w:rsid w:val="00C953F0"/>
    <w:rsid w:val="00C95489"/>
    <w:rsid w:val="00C95EBA"/>
    <w:rsid w:val="00C95FA2"/>
    <w:rsid w:val="00C9604F"/>
    <w:rsid w:val="00C961A6"/>
    <w:rsid w:val="00C963B1"/>
    <w:rsid w:val="00C965C2"/>
    <w:rsid w:val="00C965EA"/>
    <w:rsid w:val="00C96608"/>
    <w:rsid w:val="00C96ADC"/>
    <w:rsid w:val="00C96EFE"/>
    <w:rsid w:val="00C9718B"/>
    <w:rsid w:val="00C976C1"/>
    <w:rsid w:val="00C97A88"/>
    <w:rsid w:val="00CA02A9"/>
    <w:rsid w:val="00CA0370"/>
    <w:rsid w:val="00CA0853"/>
    <w:rsid w:val="00CA0C76"/>
    <w:rsid w:val="00CA0ECB"/>
    <w:rsid w:val="00CA0FCA"/>
    <w:rsid w:val="00CA15BD"/>
    <w:rsid w:val="00CA17C1"/>
    <w:rsid w:val="00CA17C9"/>
    <w:rsid w:val="00CA17E9"/>
    <w:rsid w:val="00CA1D99"/>
    <w:rsid w:val="00CA248C"/>
    <w:rsid w:val="00CA2E4C"/>
    <w:rsid w:val="00CA2FF4"/>
    <w:rsid w:val="00CA340F"/>
    <w:rsid w:val="00CA3549"/>
    <w:rsid w:val="00CA3660"/>
    <w:rsid w:val="00CA3738"/>
    <w:rsid w:val="00CA3785"/>
    <w:rsid w:val="00CA3BF6"/>
    <w:rsid w:val="00CA3C3E"/>
    <w:rsid w:val="00CA3CC6"/>
    <w:rsid w:val="00CA4528"/>
    <w:rsid w:val="00CA4B4F"/>
    <w:rsid w:val="00CA589D"/>
    <w:rsid w:val="00CA5AE0"/>
    <w:rsid w:val="00CA5CAB"/>
    <w:rsid w:val="00CA6133"/>
    <w:rsid w:val="00CA65CF"/>
    <w:rsid w:val="00CA6A7A"/>
    <w:rsid w:val="00CA6CD7"/>
    <w:rsid w:val="00CA6F90"/>
    <w:rsid w:val="00CA70AE"/>
    <w:rsid w:val="00CA71F6"/>
    <w:rsid w:val="00CA73C4"/>
    <w:rsid w:val="00CA78C4"/>
    <w:rsid w:val="00CA7FD6"/>
    <w:rsid w:val="00CB00ED"/>
    <w:rsid w:val="00CB0263"/>
    <w:rsid w:val="00CB03AD"/>
    <w:rsid w:val="00CB0412"/>
    <w:rsid w:val="00CB0B82"/>
    <w:rsid w:val="00CB17D1"/>
    <w:rsid w:val="00CB1EA8"/>
    <w:rsid w:val="00CB1EAE"/>
    <w:rsid w:val="00CB2730"/>
    <w:rsid w:val="00CB286B"/>
    <w:rsid w:val="00CB2BE4"/>
    <w:rsid w:val="00CB3098"/>
    <w:rsid w:val="00CB30B2"/>
    <w:rsid w:val="00CB343D"/>
    <w:rsid w:val="00CB34E2"/>
    <w:rsid w:val="00CB40AE"/>
    <w:rsid w:val="00CB53DC"/>
    <w:rsid w:val="00CB5477"/>
    <w:rsid w:val="00CB56C6"/>
    <w:rsid w:val="00CB59C4"/>
    <w:rsid w:val="00CB5A94"/>
    <w:rsid w:val="00CB5B3C"/>
    <w:rsid w:val="00CB6073"/>
    <w:rsid w:val="00CB64D0"/>
    <w:rsid w:val="00CB6BE2"/>
    <w:rsid w:val="00CB6BE4"/>
    <w:rsid w:val="00CB6D03"/>
    <w:rsid w:val="00CB6F33"/>
    <w:rsid w:val="00CB797D"/>
    <w:rsid w:val="00CC01EF"/>
    <w:rsid w:val="00CC04C8"/>
    <w:rsid w:val="00CC08C5"/>
    <w:rsid w:val="00CC0DBE"/>
    <w:rsid w:val="00CC101E"/>
    <w:rsid w:val="00CC1368"/>
    <w:rsid w:val="00CC179D"/>
    <w:rsid w:val="00CC1F89"/>
    <w:rsid w:val="00CC2202"/>
    <w:rsid w:val="00CC3013"/>
    <w:rsid w:val="00CC322A"/>
    <w:rsid w:val="00CC36BD"/>
    <w:rsid w:val="00CC36EE"/>
    <w:rsid w:val="00CC378E"/>
    <w:rsid w:val="00CC3B10"/>
    <w:rsid w:val="00CC4081"/>
    <w:rsid w:val="00CC439A"/>
    <w:rsid w:val="00CC4578"/>
    <w:rsid w:val="00CC4770"/>
    <w:rsid w:val="00CC48BD"/>
    <w:rsid w:val="00CC4ED2"/>
    <w:rsid w:val="00CC6061"/>
    <w:rsid w:val="00CC66AF"/>
    <w:rsid w:val="00CC6757"/>
    <w:rsid w:val="00CC74D2"/>
    <w:rsid w:val="00CC7810"/>
    <w:rsid w:val="00CC7A45"/>
    <w:rsid w:val="00CC7A99"/>
    <w:rsid w:val="00CC7CC5"/>
    <w:rsid w:val="00CC7E37"/>
    <w:rsid w:val="00CD0738"/>
    <w:rsid w:val="00CD0A1F"/>
    <w:rsid w:val="00CD1068"/>
    <w:rsid w:val="00CD155E"/>
    <w:rsid w:val="00CD2224"/>
    <w:rsid w:val="00CD26A3"/>
    <w:rsid w:val="00CD2736"/>
    <w:rsid w:val="00CD3148"/>
    <w:rsid w:val="00CD3270"/>
    <w:rsid w:val="00CD3B38"/>
    <w:rsid w:val="00CD3C29"/>
    <w:rsid w:val="00CD3F48"/>
    <w:rsid w:val="00CD4599"/>
    <w:rsid w:val="00CD4917"/>
    <w:rsid w:val="00CD4B52"/>
    <w:rsid w:val="00CD52F2"/>
    <w:rsid w:val="00CD5541"/>
    <w:rsid w:val="00CD56D2"/>
    <w:rsid w:val="00CD5C1F"/>
    <w:rsid w:val="00CD5D63"/>
    <w:rsid w:val="00CD6542"/>
    <w:rsid w:val="00CD66C1"/>
    <w:rsid w:val="00CD6721"/>
    <w:rsid w:val="00CD696A"/>
    <w:rsid w:val="00CD6D15"/>
    <w:rsid w:val="00CD6DE4"/>
    <w:rsid w:val="00CD6DED"/>
    <w:rsid w:val="00CD7C35"/>
    <w:rsid w:val="00CD7D39"/>
    <w:rsid w:val="00CE04B1"/>
    <w:rsid w:val="00CE063B"/>
    <w:rsid w:val="00CE0978"/>
    <w:rsid w:val="00CE0B37"/>
    <w:rsid w:val="00CE1110"/>
    <w:rsid w:val="00CE1432"/>
    <w:rsid w:val="00CE1965"/>
    <w:rsid w:val="00CE285C"/>
    <w:rsid w:val="00CE29D8"/>
    <w:rsid w:val="00CE2E72"/>
    <w:rsid w:val="00CE2FC0"/>
    <w:rsid w:val="00CE302F"/>
    <w:rsid w:val="00CE3ACD"/>
    <w:rsid w:val="00CE3BA5"/>
    <w:rsid w:val="00CE4213"/>
    <w:rsid w:val="00CE433B"/>
    <w:rsid w:val="00CE472D"/>
    <w:rsid w:val="00CE4A5E"/>
    <w:rsid w:val="00CE4BFD"/>
    <w:rsid w:val="00CE513B"/>
    <w:rsid w:val="00CE56F1"/>
    <w:rsid w:val="00CE5EFB"/>
    <w:rsid w:val="00CE625E"/>
    <w:rsid w:val="00CE6614"/>
    <w:rsid w:val="00CE67F9"/>
    <w:rsid w:val="00CE6D4F"/>
    <w:rsid w:val="00CE6F6E"/>
    <w:rsid w:val="00CE709C"/>
    <w:rsid w:val="00CE7133"/>
    <w:rsid w:val="00CE75AC"/>
    <w:rsid w:val="00CE770F"/>
    <w:rsid w:val="00CE795D"/>
    <w:rsid w:val="00CF0C33"/>
    <w:rsid w:val="00CF0D42"/>
    <w:rsid w:val="00CF0EE0"/>
    <w:rsid w:val="00CF1987"/>
    <w:rsid w:val="00CF1A6D"/>
    <w:rsid w:val="00CF1C37"/>
    <w:rsid w:val="00CF1D03"/>
    <w:rsid w:val="00CF2066"/>
    <w:rsid w:val="00CF22D7"/>
    <w:rsid w:val="00CF24FD"/>
    <w:rsid w:val="00CF2949"/>
    <w:rsid w:val="00CF2B14"/>
    <w:rsid w:val="00CF305C"/>
    <w:rsid w:val="00CF33D2"/>
    <w:rsid w:val="00CF3533"/>
    <w:rsid w:val="00CF3D2C"/>
    <w:rsid w:val="00CF3EFA"/>
    <w:rsid w:val="00CF4356"/>
    <w:rsid w:val="00CF4824"/>
    <w:rsid w:val="00CF4BD5"/>
    <w:rsid w:val="00CF4D60"/>
    <w:rsid w:val="00CF5028"/>
    <w:rsid w:val="00CF56EE"/>
    <w:rsid w:val="00CF5A51"/>
    <w:rsid w:val="00CF5BD0"/>
    <w:rsid w:val="00CF5C38"/>
    <w:rsid w:val="00CF6010"/>
    <w:rsid w:val="00CF617D"/>
    <w:rsid w:val="00CF674B"/>
    <w:rsid w:val="00CF6811"/>
    <w:rsid w:val="00CF68DF"/>
    <w:rsid w:val="00CF6F4D"/>
    <w:rsid w:val="00CF706E"/>
    <w:rsid w:val="00CF7B96"/>
    <w:rsid w:val="00CF7C7D"/>
    <w:rsid w:val="00CF7ECB"/>
    <w:rsid w:val="00D004AD"/>
    <w:rsid w:val="00D00563"/>
    <w:rsid w:val="00D006F4"/>
    <w:rsid w:val="00D00AC2"/>
    <w:rsid w:val="00D01218"/>
    <w:rsid w:val="00D01324"/>
    <w:rsid w:val="00D0153B"/>
    <w:rsid w:val="00D016C6"/>
    <w:rsid w:val="00D01B45"/>
    <w:rsid w:val="00D01C83"/>
    <w:rsid w:val="00D01CD7"/>
    <w:rsid w:val="00D01EBE"/>
    <w:rsid w:val="00D01EF6"/>
    <w:rsid w:val="00D021C8"/>
    <w:rsid w:val="00D02556"/>
    <w:rsid w:val="00D026D8"/>
    <w:rsid w:val="00D02E78"/>
    <w:rsid w:val="00D02FE4"/>
    <w:rsid w:val="00D032D9"/>
    <w:rsid w:val="00D034E1"/>
    <w:rsid w:val="00D036C0"/>
    <w:rsid w:val="00D03CEA"/>
    <w:rsid w:val="00D03D4B"/>
    <w:rsid w:val="00D03E5C"/>
    <w:rsid w:val="00D03E90"/>
    <w:rsid w:val="00D03EB8"/>
    <w:rsid w:val="00D0423B"/>
    <w:rsid w:val="00D044A3"/>
    <w:rsid w:val="00D0463D"/>
    <w:rsid w:val="00D04DAE"/>
    <w:rsid w:val="00D04DDE"/>
    <w:rsid w:val="00D05222"/>
    <w:rsid w:val="00D05785"/>
    <w:rsid w:val="00D059CB"/>
    <w:rsid w:val="00D05C09"/>
    <w:rsid w:val="00D05CC8"/>
    <w:rsid w:val="00D05DF4"/>
    <w:rsid w:val="00D05E27"/>
    <w:rsid w:val="00D06416"/>
    <w:rsid w:val="00D064D5"/>
    <w:rsid w:val="00D0692A"/>
    <w:rsid w:val="00D06A39"/>
    <w:rsid w:val="00D06BA0"/>
    <w:rsid w:val="00D0707A"/>
    <w:rsid w:val="00D07123"/>
    <w:rsid w:val="00D07408"/>
    <w:rsid w:val="00D0795E"/>
    <w:rsid w:val="00D10439"/>
    <w:rsid w:val="00D10700"/>
    <w:rsid w:val="00D10B2C"/>
    <w:rsid w:val="00D110A2"/>
    <w:rsid w:val="00D1126B"/>
    <w:rsid w:val="00D11C55"/>
    <w:rsid w:val="00D11C8C"/>
    <w:rsid w:val="00D12047"/>
    <w:rsid w:val="00D1209B"/>
    <w:rsid w:val="00D1216A"/>
    <w:rsid w:val="00D127BD"/>
    <w:rsid w:val="00D12CFB"/>
    <w:rsid w:val="00D13134"/>
    <w:rsid w:val="00D131F5"/>
    <w:rsid w:val="00D1327D"/>
    <w:rsid w:val="00D1329E"/>
    <w:rsid w:val="00D13416"/>
    <w:rsid w:val="00D13708"/>
    <w:rsid w:val="00D13A20"/>
    <w:rsid w:val="00D1403F"/>
    <w:rsid w:val="00D142A0"/>
    <w:rsid w:val="00D145E6"/>
    <w:rsid w:val="00D14F63"/>
    <w:rsid w:val="00D150CA"/>
    <w:rsid w:val="00D15158"/>
    <w:rsid w:val="00D153EB"/>
    <w:rsid w:val="00D15575"/>
    <w:rsid w:val="00D156C1"/>
    <w:rsid w:val="00D1630B"/>
    <w:rsid w:val="00D164F0"/>
    <w:rsid w:val="00D16DD4"/>
    <w:rsid w:val="00D17423"/>
    <w:rsid w:val="00D17C00"/>
    <w:rsid w:val="00D17E9F"/>
    <w:rsid w:val="00D200DF"/>
    <w:rsid w:val="00D20CBA"/>
    <w:rsid w:val="00D21576"/>
    <w:rsid w:val="00D21781"/>
    <w:rsid w:val="00D21B90"/>
    <w:rsid w:val="00D220F1"/>
    <w:rsid w:val="00D22723"/>
    <w:rsid w:val="00D22742"/>
    <w:rsid w:val="00D2284F"/>
    <w:rsid w:val="00D22E8C"/>
    <w:rsid w:val="00D232A9"/>
    <w:rsid w:val="00D23319"/>
    <w:rsid w:val="00D2340F"/>
    <w:rsid w:val="00D23D74"/>
    <w:rsid w:val="00D23E5B"/>
    <w:rsid w:val="00D24298"/>
    <w:rsid w:val="00D24444"/>
    <w:rsid w:val="00D24595"/>
    <w:rsid w:val="00D24CB7"/>
    <w:rsid w:val="00D24F28"/>
    <w:rsid w:val="00D255BB"/>
    <w:rsid w:val="00D255CF"/>
    <w:rsid w:val="00D25640"/>
    <w:rsid w:val="00D25B29"/>
    <w:rsid w:val="00D25E71"/>
    <w:rsid w:val="00D2629D"/>
    <w:rsid w:val="00D264AC"/>
    <w:rsid w:val="00D26560"/>
    <w:rsid w:val="00D26702"/>
    <w:rsid w:val="00D26749"/>
    <w:rsid w:val="00D26797"/>
    <w:rsid w:val="00D2680A"/>
    <w:rsid w:val="00D26DF3"/>
    <w:rsid w:val="00D27160"/>
    <w:rsid w:val="00D2746B"/>
    <w:rsid w:val="00D27588"/>
    <w:rsid w:val="00D27662"/>
    <w:rsid w:val="00D2767A"/>
    <w:rsid w:val="00D2773B"/>
    <w:rsid w:val="00D27905"/>
    <w:rsid w:val="00D27E39"/>
    <w:rsid w:val="00D30616"/>
    <w:rsid w:val="00D30891"/>
    <w:rsid w:val="00D30D68"/>
    <w:rsid w:val="00D3102F"/>
    <w:rsid w:val="00D31335"/>
    <w:rsid w:val="00D31416"/>
    <w:rsid w:val="00D318BC"/>
    <w:rsid w:val="00D31B0E"/>
    <w:rsid w:val="00D324AD"/>
    <w:rsid w:val="00D32B61"/>
    <w:rsid w:val="00D32C46"/>
    <w:rsid w:val="00D32E6B"/>
    <w:rsid w:val="00D32F8D"/>
    <w:rsid w:val="00D33785"/>
    <w:rsid w:val="00D339BF"/>
    <w:rsid w:val="00D339C8"/>
    <w:rsid w:val="00D341AD"/>
    <w:rsid w:val="00D34270"/>
    <w:rsid w:val="00D3448A"/>
    <w:rsid w:val="00D3451A"/>
    <w:rsid w:val="00D3491C"/>
    <w:rsid w:val="00D34BBD"/>
    <w:rsid w:val="00D34F84"/>
    <w:rsid w:val="00D35C28"/>
    <w:rsid w:val="00D35F8A"/>
    <w:rsid w:val="00D364ED"/>
    <w:rsid w:val="00D36702"/>
    <w:rsid w:val="00D3671E"/>
    <w:rsid w:val="00D36765"/>
    <w:rsid w:val="00D36892"/>
    <w:rsid w:val="00D36BDD"/>
    <w:rsid w:val="00D374D5"/>
    <w:rsid w:val="00D37616"/>
    <w:rsid w:val="00D37A12"/>
    <w:rsid w:val="00D37B91"/>
    <w:rsid w:val="00D37C54"/>
    <w:rsid w:val="00D400B7"/>
    <w:rsid w:val="00D4048E"/>
    <w:rsid w:val="00D407BB"/>
    <w:rsid w:val="00D40989"/>
    <w:rsid w:val="00D409B8"/>
    <w:rsid w:val="00D40CEF"/>
    <w:rsid w:val="00D40DEE"/>
    <w:rsid w:val="00D41113"/>
    <w:rsid w:val="00D4138F"/>
    <w:rsid w:val="00D417D5"/>
    <w:rsid w:val="00D41C2C"/>
    <w:rsid w:val="00D41CF5"/>
    <w:rsid w:val="00D422B3"/>
    <w:rsid w:val="00D423A0"/>
    <w:rsid w:val="00D424BC"/>
    <w:rsid w:val="00D425E1"/>
    <w:rsid w:val="00D4298E"/>
    <w:rsid w:val="00D42BD1"/>
    <w:rsid w:val="00D42F8C"/>
    <w:rsid w:val="00D43A15"/>
    <w:rsid w:val="00D43C39"/>
    <w:rsid w:val="00D43EFA"/>
    <w:rsid w:val="00D449CD"/>
    <w:rsid w:val="00D44B21"/>
    <w:rsid w:val="00D4520E"/>
    <w:rsid w:val="00D45BD7"/>
    <w:rsid w:val="00D467C8"/>
    <w:rsid w:val="00D470BE"/>
    <w:rsid w:val="00D474D2"/>
    <w:rsid w:val="00D475AB"/>
    <w:rsid w:val="00D47B23"/>
    <w:rsid w:val="00D50045"/>
    <w:rsid w:val="00D50431"/>
    <w:rsid w:val="00D50744"/>
    <w:rsid w:val="00D50793"/>
    <w:rsid w:val="00D5108C"/>
    <w:rsid w:val="00D515C3"/>
    <w:rsid w:val="00D51645"/>
    <w:rsid w:val="00D517D4"/>
    <w:rsid w:val="00D51A87"/>
    <w:rsid w:val="00D51AF3"/>
    <w:rsid w:val="00D520F5"/>
    <w:rsid w:val="00D5247D"/>
    <w:rsid w:val="00D52522"/>
    <w:rsid w:val="00D5264F"/>
    <w:rsid w:val="00D527CA"/>
    <w:rsid w:val="00D529F2"/>
    <w:rsid w:val="00D52D64"/>
    <w:rsid w:val="00D52FB7"/>
    <w:rsid w:val="00D53206"/>
    <w:rsid w:val="00D53F04"/>
    <w:rsid w:val="00D53FCB"/>
    <w:rsid w:val="00D53FD5"/>
    <w:rsid w:val="00D542E2"/>
    <w:rsid w:val="00D545EB"/>
    <w:rsid w:val="00D54EA8"/>
    <w:rsid w:val="00D55093"/>
    <w:rsid w:val="00D55197"/>
    <w:rsid w:val="00D5527E"/>
    <w:rsid w:val="00D556E0"/>
    <w:rsid w:val="00D5572B"/>
    <w:rsid w:val="00D557CC"/>
    <w:rsid w:val="00D55E48"/>
    <w:rsid w:val="00D55EFB"/>
    <w:rsid w:val="00D5621D"/>
    <w:rsid w:val="00D564E1"/>
    <w:rsid w:val="00D565A0"/>
    <w:rsid w:val="00D56A5B"/>
    <w:rsid w:val="00D56D50"/>
    <w:rsid w:val="00D57658"/>
    <w:rsid w:val="00D57B49"/>
    <w:rsid w:val="00D57B7E"/>
    <w:rsid w:val="00D57E92"/>
    <w:rsid w:val="00D57F97"/>
    <w:rsid w:val="00D60024"/>
    <w:rsid w:val="00D6030F"/>
    <w:rsid w:val="00D60496"/>
    <w:rsid w:val="00D60506"/>
    <w:rsid w:val="00D60CE4"/>
    <w:rsid w:val="00D60E17"/>
    <w:rsid w:val="00D60E97"/>
    <w:rsid w:val="00D61019"/>
    <w:rsid w:val="00D6131A"/>
    <w:rsid w:val="00D6137E"/>
    <w:rsid w:val="00D61AEF"/>
    <w:rsid w:val="00D61E8F"/>
    <w:rsid w:val="00D6219E"/>
    <w:rsid w:val="00D62581"/>
    <w:rsid w:val="00D62D3E"/>
    <w:rsid w:val="00D63A80"/>
    <w:rsid w:val="00D63C1D"/>
    <w:rsid w:val="00D63D25"/>
    <w:rsid w:val="00D63E74"/>
    <w:rsid w:val="00D63ED1"/>
    <w:rsid w:val="00D64175"/>
    <w:rsid w:val="00D643C5"/>
    <w:rsid w:val="00D643F0"/>
    <w:rsid w:val="00D64860"/>
    <w:rsid w:val="00D64873"/>
    <w:rsid w:val="00D64DBF"/>
    <w:rsid w:val="00D65925"/>
    <w:rsid w:val="00D65FC8"/>
    <w:rsid w:val="00D664DD"/>
    <w:rsid w:val="00D6655E"/>
    <w:rsid w:val="00D6691F"/>
    <w:rsid w:val="00D66E6D"/>
    <w:rsid w:val="00D67064"/>
    <w:rsid w:val="00D6778F"/>
    <w:rsid w:val="00D67BBD"/>
    <w:rsid w:val="00D71169"/>
    <w:rsid w:val="00D711A1"/>
    <w:rsid w:val="00D7124B"/>
    <w:rsid w:val="00D714A9"/>
    <w:rsid w:val="00D716E5"/>
    <w:rsid w:val="00D71985"/>
    <w:rsid w:val="00D719FC"/>
    <w:rsid w:val="00D71BB9"/>
    <w:rsid w:val="00D71F59"/>
    <w:rsid w:val="00D72099"/>
    <w:rsid w:val="00D724B4"/>
    <w:rsid w:val="00D72616"/>
    <w:rsid w:val="00D7286D"/>
    <w:rsid w:val="00D72EE3"/>
    <w:rsid w:val="00D73655"/>
    <w:rsid w:val="00D73ED0"/>
    <w:rsid w:val="00D7403F"/>
    <w:rsid w:val="00D747A6"/>
    <w:rsid w:val="00D748F4"/>
    <w:rsid w:val="00D74B51"/>
    <w:rsid w:val="00D75062"/>
    <w:rsid w:val="00D75413"/>
    <w:rsid w:val="00D75447"/>
    <w:rsid w:val="00D75514"/>
    <w:rsid w:val="00D7586C"/>
    <w:rsid w:val="00D75E43"/>
    <w:rsid w:val="00D762A7"/>
    <w:rsid w:val="00D763AC"/>
    <w:rsid w:val="00D767AB"/>
    <w:rsid w:val="00D7749F"/>
    <w:rsid w:val="00D77574"/>
    <w:rsid w:val="00D779D0"/>
    <w:rsid w:val="00D77C85"/>
    <w:rsid w:val="00D801A8"/>
    <w:rsid w:val="00D805BD"/>
    <w:rsid w:val="00D8077D"/>
    <w:rsid w:val="00D80AC9"/>
    <w:rsid w:val="00D81037"/>
    <w:rsid w:val="00D8104E"/>
    <w:rsid w:val="00D8175B"/>
    <w:rsid w:val="00D817E2"/>
    <w:rsid w:val="00D818D5"/>
    <w:rsid w:val="00D81B33"/>
    <w:rsid w:val="00D81C2B"/>
    <w:rsid w:val="00D81D46"/>
    <w:rsid w:val="00D81E1A"/>
    <w:rsid w:val="00D820B4"/>
    <w:rsid w:val="00D82E38"/>
    <w:rsid w:val="00D8330B"/>
    <w:rsid w:val="00D83336"/>
    <w:rsid w:val="00D83535"/>
    <w:rsid w:val="00D83C47"/>
    <w:rsid w:val="00D83E74"/>
    <w:rsid w:val="00D83EC5"/>
    <w:rsid w:val="00D842B6"/>
    <w:rsid w:val="00D844C8"/>
    <w:rsid w:val="00D844D2"/>
    <w:rsid w:val="00D84DD2"/>
    <w:rsid w:val="00D85015"/>
    <w:rsid w:val="00D8501F"/>
    <w:rsid w:val="00D85050"/>
    <w:rsid w:val="00D85136"/>
    <w:rsid w:val="00D8549A"/>
    <w:rsid w:val="00D856E4"/>
    <w:rsid w:val="00D859B4"/>
    <w:rsid w:val="00D85A18"/>
    <w:rsid w:val="00D85D59"/>
    <w:rsid w:val="00D86118"/>
    <w:rsid w:val="00D861E2"/>
    <w:rsid w:val="00D8646B"/>
    <w:rsid w:val="00D8690D"/>
    <w:rsid w:val="00D86A78"/>
    <w:rsid w:val="00D86B59"/>
    <w:rsid w:val="00D86BA3"/>
    <w:rsid w:val="00D86C95"/>
    <w:rsid w:val="00D86E52"/>
    <w:rsid w:val="00D87176"/>
    <w:rsid w:val="00D87574"/>
    <w:rsid w:val="00D876B3"/>
    <w:rsid w:val="00D87F13"/>
    <w:rsid w:val="00D90070"/>
    <w:rsid w:val="00D904D4"/>
    <w:rsid w:val="00D9080D"/>
    <w:rsid w:val="00D908F6"/>
    <w:rsid w:val="00D90B5B"/>
    <w:rsid w:val="00D90D7B"/>
    <w:rsid w:val="00D90DAD"/>
    <w:rsid w:val="00D90E74"/>
    <w:rsid w:val="00D90E83"/>
    <w:rsid w:val="00D90F82"/>
    <w:rsid w:val="00D9160F"/>
    <w:rsid w:val="00D916A0"/>
    <w:rsid w:val="00D916FC"/>
    <w:rsid w:val="00D9172B"/>
    <w:rsid w:val="00D91CD3"/>
    <w:rsid w:val="00D91D2B"/>
    <w:rsid w:val="00D92686"/>
    <w:rsid w:val="00D928B2"/>
    <w:rsid w:val="00D92AC7"/>
    <w:rsid w:val="00D92B26"/>
    <w:rsid w:val="00D92D86"/>
    <w:rsid w:val="00D92DC0"/>
    <w:rsid w:val="00D931E0"/>
    <w:rsid w:val="00D93594"/>
    <w:rsid w:val="00D9392F"/>
    <w:rsid w:val="00D93D27"/>
    <w:rsid w:val="00D94174"/>
    <w:rsid w:val="00D949AF"/>
    <w:rsid w:val="00D94D14"/>
    <w:rsid w:val="00D94F17"/>
    <w:rsid w:val="00D95164"/>
    <w:rsid w:val="00D9572D"/>
    <w:rsid w:val="00D95C77"/>
    <w:rsid w:val="00D9673D"/>
    <w:rsid w:val="00D96C1A"/>
    <w:rsid w:val="00D9775A"/>
    <w:rsid w:val="00D97A54"/>
    <w:rsid w:val="00D97B03"/>
    <w:rsid w:val="00D97CB7"/>
    <w:rsid w:val="00DA0096"/>
    <w:rsid w:val="00DA0187"/>
    <w:rsid w:val="00DA0411"/>
    <w:rsid w:val="00DA0FD7"/>
    <w:rsid w:val="00DA1E45"/>
    <w:rsid w:val="00DA1F58"/>
    <w:rsid w:val="00DA26B3"/>
    <w:rsid w:val="00DA2FF0"/>
    <w:rsid w:val="00DA387E"/>
    <w:rsid w:val="00DA3BD5"/>
    <w:rsid w:val="00DA3E61"/>
    <w:rsid w:val="00DA3F21"/>
    <w:rsid w:val="00DA4123"/>
    <w:rsid w:val="00DA498D"/>
    <w:rsid w:val="00DA4A07"/>
    <w:rsid w:val="00DA4BC3"/>
    <w:rsid w:val="00DA4C94"/>
    <w:rsid w:val="00DA519D"/>
    <w:rsid w:val="00DA5251"/>
    <w:rsid w:val="00DA5307"/>
    <w:rsid w:val="00DA583F"/>
    <w:rsid w:val="00DA5C40"/>
    <w:rsid w:val="00DA5F20"/>
    <w:rsid w:val="00DA62FF"/>
    <w:rsid w:val="00DA69DD"/>
    <w:rsid w:val="00DA6FFC"/>
    <w:rsid w:val="00DA77B9"/>
    <w:rsid w:val="00DA79A1"/>
    <w:rsid w:val="00DA7E1A"/>
    <w:rsid w:val="00DA7EE8"/>
    <w:rsid w:val="00DA7EF9"/>
    <w:rsid w:val="00DB06EA"/>
    <w:rsid w:val="00DB0C09"/>
    <w:rsid w:val="00DB1027"/>
    <w:rsid w:val="00DB1205"/>
    <w:rsid w:val="00DB135C"/>
    <w:rsid w:val="00DB1701"/>
    <w:rsid w:val="00DB199A"/>
    <w:rsid w:val="00DB1A11"/>
    <w:rsid w:val="00DB1D87"/>
    <w:rsid w:val="00DB2075"/>
    <w:rsid w:val="00DB2386"/>
    <w:rsid w:val="00DB24AA"/>
    <w:rsid w:val="00DB2863"/>
    <w:rsid w:val="00DB28FB"/>
    <w:rsid w:val="00DB2D17"/>
    <w:rsid w:val="00DB359D"/>
    <w:rsid w:val="00DB4341"/>
    <w:rsid w:val="00DB4B95"/>
    <w:rsid w:val="00DB553E"/>
    <w:rsid w:val="00DB56C7"/>
    <w:rsid w:val="00DB57C7"/>
    <w:rsid w:val="00DB5888"/>
    <w:rsid w:val="00DB5ADC"/>
    <w:rsid w:val="00DB5B69"/>
    <w:rsid w:val="00DB67A2"/>
    <w:rsid w:val="00DB714C"/>
    <w:rsid w:val="00DB7258"/>
    <w:rsid w:val="00DB756D"/>
    <w:rsid w:val="00DB77D6"/>
    <w:rsid w:val="00DB7995"/>
    <w:rsid w:val="00DB79AE"/>
    <w:rsid w:val="00DB7A6C"/>
    <w:rsid w:val="00DB7B6D"/>
    <w:rsid w:val="00DC015E"/>
    <w:rsid w:val="00DC084C"/>
    <w:rsid w:val="00DC0941"/>
    <w:rsid w:val="00DC0A62"/>
    <w:rsid w:val="00DC0E17"/>
    <w:rsid w:val="00DC1773"/>
    <w:rsid w:val="00DC1BDD"/>
    <w:rsid w:val="00DC21BA"/>
    <w:rsid w:val="00DC2A6E"/>
    <w:rsid w:val="00DC2B13"/>
    <w:rsid w:val="00DC2B5A"/>
    <w:rsid w:val="00DC2C8C"/>
    <w:rsid w:val="00DC2E69"/>
    <w:rsid w:val="00DC2FF3"/>
    <w:rsid w:val="00DC3818"/>
    <w:rsid w:val="00DC3876"/>
    <w:rsid w:val="00DC38F4"/>
    <w:rsid w:val="00DC40D6"/>
    <w:rsid w:val="00DC41D7"/>
    <w:rsid w:val="00DC4BF7"/>
    <w:rsid w:val="00DC4ED3"/>
    <w:rsid w:val="00DC56DA"/>
    <w:rsid w:val="00DC5932"/>
    <w:rsid w:val="00DC6095"/>
    <w:rsid w:val="00DC6D2B"/>
    <w:rsid w:val="00DC6ED8"/>
    <w:rsid w:val="00DC6F8E"/>
    <w:rsid w:val="00DC70A2"/>
    <w:rsid w:val="00DC71EA"/>
    <w:rsid w:val="00DC7814"/>
    <w:rsid w:val="00DC7E4F"/>
    <w:rsid w:val="00DC7F2D"/>
    <w:rsid w:val="00DD00DB"/>
    <w:rsid w:val="00DD04DA"/>
    <w:rsid w:val="00DD0BB8"/>
    <w:rsid w:val="00DD0EB4"/>
    <w:rsid w:val="00DD1712"/>
    <w:rsid w:val="00DD1986"/>
    <w:rsid w:val="00DD1F15"/>
    <w:rsid w:val="00DD20BD"/>
    <w:rsid w:val="00DD213C"/>
    <w:rsid w:val="00DD2345"/>
    <w:rsid w:val="00DD29F2"/>
    <w:rsid w:val="00DD2BA6"/>
    <w:rsid w:val="00DD2E62"/>
    <w:rsid w:val="00DD2EDD"/>
    <w:rsid w:val="00DD3647"/>
    <w:rsid w:val="00DD4358"/>
    <w:rsid w:val="00DD4537"/>
    <w:rsid w:val="00DD4772"/>
    <w:rsid w:val="00DD4A72"/>
    <w:rsid w:val="00DD4A8B"/>
    <w:rsid w:val="00DD5721"/>
    <w:rsid w:val="00DD589A"/>
    <w:rsid w:val="00DD5AB2"/>
    <w:rsid w:val="00DD6027"/>
    <w:rsid w:val="00DD63BA"/>
    <w:rsid w:val="00DD65FB"/>
    <w:rsid w:val="00DD66EA"/>
    <w:rsid w:val="00DD6AD8"/>
    <w:rsid w:val="00DD745F"/>
    <w:rsid w:val="00DD75FB"/>
    <w:rsid w:val="00DD7706"/>
    <w:rsid w:val="00DD780A"/>
    <w:rsid w:val="00DD789B"/>
    <w:rsid w:val="00DD7A31"/>
    <w:rsid w:val="00DD7A7B"/>
    <w:rsid w:val="00DD7EB8"/>
    <w:rsid w:val="00DE024B"/>
    <w:rsid w:val="00DE034D"/>
    <w:rsid w:val="00DE037A"/>
    <w:rsid w:val="00DE0D77"/>
    <w:rsid w:val="00DE0D8A"/>
    <w:rsid w:val="00DE1021"/>
    <w:rsid w:val="00DE158B"/>
    <w:rsid w:val="00DE204D"/>
    <w:rsid w:val="00DE22CE"/>
    <w:rsid w:val="00DE2442"/>
    <w:rsid w:val="00DE27A9"/>
    <w:rsid w:val="00DE28A4"/>
    <w:rsid w:val="00DE2ACA"/>
    <w:rsid w:val="00DE2FB5"/>
    <w:rsid w:val="00DE3361"/>
    <w:rsid w:val="00DE34A3"/>
    <w:rsid w:val="00DE3652"/>
    <w:rsid w:val="00DE39FE"/>
    <w:rsid w:val="00DE3E54"/>
    <w:rsid w:val="00DE3E98"/>
    <w:rsid w:val="00DE410C"/>
    <w:rsid w:val="00DE4351"/>
    <w:rsid w:val="00DE48C8"/>
    <w:rsid w:val="00DE48C9"/>
    <w:rsid w:val="00DE5EC6"/>
    <w:rsid w:val="00DE6006"/>
    <w:rsid w:val="00DE6249"/>
    <w:rsid w:val="00DE650C"/>
    <w:rsid w:val="00DE670F"/>
    <w:rsid w:val="00DE6752"/>
    <w:rsid w:val="00DE7314"/>
    <w:rsid w:val="00DE7A19"/>
    <w:rsid w:val="00DE7C21"/>
    <w:rsid w:val="00DE7E61"/>
    <w:rsid w:val="00DE7E78"/>
    <w:rsid w:val="00DE7F0E"/>
    <w:rsid w:val="00DE7FEB"/>
    <w:rsid w:val="00DF051B"/>
    <w:rsid w:val="00DF06F5"/>
    <w:rsid w:val="00DF0880"/>
    <w:rsid w:val="00DF0D17"/>
    <w:rsid w:val="00DF0D90"/>
    <w:rsid w:val="00DF1A01"/>
    <w:rsid w:val="00DF1B5E"/>
    <w:rsid w:val="00DF1BE6"/>
    <w:rsid w:val="00DF1C63"/>
    <w:rsid w:val="00DF1C68"/>
    <w:rsid w:val="00DF1FF9"/>
    <w:rsid w:val="00DF245E"/>
    <w:rsid w:val="00DF25D6"/>
    <w:rsid w:val="00DF266F"/>
    <w:rsid w:val="00DF2B6A"/>
    <w:rsid w:val="00DF2BDD"/>
    <w:rsid w:val="00DF2D26"/>
    <w:rsid w:val="00DF3134"/>
    <w:rsid w:val="00DF33A6"/>
    <w:rsid w:val="00DF3A7E"/>
    <w:rsid w:val="00DF3B67"/>
    <w:rsid w:val="00DF4C0A"/>
    <w:rsid w:val="00DF4D1C"/>
    <w:rsid w:val="00DF5351"/>
    <w:rsid w:val="00DF5669"/>
    <w:rsid w:val="00DF5690"/>
    <w:rsid w:val="00DF5BDE"/>
    <w:rsid w:val="00DF5C0D"/>
    <w:rsid w:val="00DF5D71"/>
    <w:rsid w:val="00DF6789"/>
    <w:rsid w:val="00DF6A6F"/>
    <w:rsid w:val="00E000D9"/>
    <w:rsid w:val="00E0025E"/>
    <w:rsid w:val="00E007B3"/>
    <w:rsid w:val="00E00E48"/>
    <w:rsid w:val="00E00FE7"/>
    <w:rsid w:val="00E012BC"/>
    <w:rsid w:val="00E012EC"/>
    <w:rsid w:val="00E02194"/>
    <w:rsid w:val="00E027A4"/>
    <w:rsid w:val="00E02B92"/>
    <w:rsid w:val="00E02F58"/>
    <w:rsid w:val="00E03085"/>
    <w:rsid w:val="00E03568"/>
    <w:rsid w:val="00E03A5C"/>
    <w:rsid w:val="00E04101"/>
    <w:rsid w:val="00E04628"/>
    <w:rsid w:val="00E0477C"/>
    <w:rsid w:val="00E048E7"/>
    <w:rsid w:val="00E05218"/>
    <w:rsid w:val="00E0553B"/>
    <w:rsid w:val="00E05608"/>
    <w:rsid w:val="00E05852"/>
    <w:rsid w:val="00E05976"/>
    <w:rsid w:val="00E05A2B"/>
    <w:rsid w:val="00E05C2E"/>
    <w:rsid w:val="00E060CB"/>
    <w:rsid w:val="00E06240"/>
    <w:rsid w:val="00E06635"/>
    <w:rsid w:val="00E06DD1"/>
    <w:rsid w:val="00E07D4E"/>
    <w:rsid w:val="00E10454"/>
    <w:rsid w:val="00E109E5"/>
    <w:rsid w:val="00E10D3F"/>
    <w:rsid w:val="00E10DB7"/>
    <w:rsid w:val="00E10EA9"/>
    <w:rsid w:val="00E111EC"/>
    <w:rsid w:val="00E11218"/>
    <w:rsid w:val="00E112BC"/>
    <w:rsid w:val="00E1147C"/>
    <w:rsid w:val="00E11658"/>
    <w:rsid w:val="00E11C4D"/>
    <w:rsid w:val="00E121A2"/>
    <w:rsid w:val="00E12667"/>
    <w:rsid w:val="00E12816"/>
    <w:rsid w:val="00E12D8A"/>
    <w:rsid w:val="00E130E2"/>
    <w:rsid w:val="00E139D9"/>
    <w:rsid w:val="00E14104"/>
    <w:rsid w:val="00E1519F"/>
    <w:rsid w:val="00E15F45"/>
    <w:rsid w:val="00E162EA"/>
    <w:rsid w:val="00E16357"/>
    <w:rsid w:val="00E16825"/>
    <w:rsid w:val="00E16F7A"/>
    <w:rsid w:val="00E172AF"/>
    <w:rsid w:val="00E17672"/>
    <w:rsid w:val="00E177A1"/>
    <w:rsid w:val="00E1788E"/>
    <w:rsid w:val="00E178A3"/>
    <w:rsid w:val="00E17BCD"/>
    <w:rsid w:val="00E17D5E"/>
    <w:rsid w:val="00E205A9"/>
    <w:rsid w:val="00E20667"/>
    <w:rsid w:val="00E20744"/>
    <w:rsid w:val="00E20795"/>
    <w:rsid w:val="00E20D79"/>
    <w:rsid w:val="00E20EB0"/>
    <w:rsid w:val="00E20FF5"/>
    <w:rsid w:val="00E2103B"/>
    <w:rsid w:val="00E210C4"/>
    <w:rsid w:val="00E21618"/>
    <w:rsid w:val="00E216A5"/>
    <w:rsid w:val="00E21CC2"/>
    <w:rsid w:val="00E21D86"/>
    <w:rsid w:val="00E21FBA"/>
    <w:rsid w:val="00E23324"/>
    <w:rsid w:val="00E23456"/>
    <w:rsid w:val="00E234E5"/>
    <w:rsid w:val="00E23511"/>
    <w:rsid w:val="00E236A8"/>
    <w:rsid w:val="00E23915"/>
    <w:rsid w:val="00E23BD9"/>
    <w:rsid w:val="00E23D72"/>
    <w:rsid w:val="00E23DB8"/>
    <w:rsid w:val="00E2432E"/>
    <w:rsid w:val="00E24441"/>
    <w:rsid w:val="00E2499E"/>
    <w:rsid w:val="00E24AC7"/>
    <w:rsid w:val="00E24BF0"/>
    <w:rsid w:val="00E24F58"/>
    <w:rsid w:val="00E252B8"/>
    <w:rsid w:val="00E254E8"/>
    <w:rsid w:val="00E2564E"/>
    <w:rsid w:val="00E256A7"/>
    <w:rsid w:val="00E25954"/>
    <w:rsid w:val="00E25C4D"/>
    <w:rsid w:val="00E269F3"/>
    <w:rsid w:val="00E271A0"/>
    <w:rsid w:val="00E2731D"/>
    <w:rsid w:val="00E2756E"/>
    <w:rsid w:val="00E27A35"/>
    <w:rsid w:val="00E27ABE"/>
    <w:rsid w:val="00E27DF6"/>
    <w:rsid w:val="00E306D1"/>
    <w:rsid w:val="00E30761"/>
    <w:rsid w:val="00E30DA1"/>
    <w:rsid w:val="00E3133B"/>
    <w:rsid w:val="00E317BD"/>
    <w:rsid w:val="00E32225"/>
    <w:rsid w:val="00E32468"/>
    <w:rsid w:val="00E32A9D"/>
    <w:rsid w:val="00E32AF7"/>
    <w:rsid w:val="00E32C45"/>
    <w:rsid w:val="00E33288"/>
    <w:rsid w:val="00E3343D"/>
    <w:rsid w:val="00E33513"/>
    <w:rsid w:val="00E336A2"/>
    <w:rsid w:val="00E3409A"/>
    <w:rsid w:val="00E341A6"/>
    <w:rsid w:val="00E34405"/>
    <w:rsid w:val="00E3475B"/>
    <w:rsid w:val="00E34AD3"/>
    <w:rsid w:val="00E34CD3"/>
    <w:rsid w:val="00E3512B"/>
    <w:rsid w:val="00E35172"/>
    <w:rsid w:val="00E351AE"/>
    <w:rsid w:val="00E357BB"/>
    <w:rsid w:val="00E366B7"/>
    <w:rsid w:val="00E3671F"/>
    <w:rsid w:val="00E36B81"/>
    <w:rsid w:val="00E36EF1"/>
    <w:rsid w:val="00E36FB5"/>
    <w:rsid w:val="00E37340"/>
    <w:rsid w:val="00E3766A"/>
    <w:rsid w:val="00E376ED"/>
    <w:rsid w:val="00E4005F"/>
    <w:rsid w:val="00E404AC"/>
    <w:rsid w:val="00E405BC"/>
    <w:rsid w:val="00E40D39"/>
    <w:rsid w:val="00E40F06"/>
    <w:rsid w:val="00E41414"/>
    <w:rsid w:val="00E41646"/>
    <w:rsid w:val="00E418A3"/>
    <w:rsid w:val="00E41AFC"/>
    <w:rsid w:val="00E41BBB"/>
    <w:rsid w:val="00E420A6"/>
    <w:rsid w:val="00E423FE"/>
    <w:rsid w:val="00E42475"/>
    <w:rsid w:val="00E428F7"/>
    <w:rsid w:val="00E42A88"/>
    <w:rsid w:val="00E42DBA"/>
    <w:rsid w:val="00E42EDF"/>
    <w:rsid w:val="00E4348E"/>
    <w:rsid w:val="00E437B9"/>
    <w:rsid w:val="00E448E3"/>
    <w:rsid w:val="00E44990"/>
    <w:rsid w:val="00E4549A"/>
    <w:rsid w:val="00E45E99"/>
    <w:rsid w:val="00E45FD8"/>
    <w:rsid w:val="00E461D9"/>
    <w:rsid w:val="00E46487"/>
    <w:rsid w:val="00E469D2"/>
    <w:rsid w:val="00E46D90"/>
    <w:rsid w:val="00E46E14"/>
    <w:rsid w:val="00E46F05"/>
    <w:rsid w:val="00E47ACA"/>
    <w:rsid w:val="00E47C55"/>
    <w:rsid w:val="00E47D7F"/>
    <w:rsid w:val="00E5062D"/>
    <w:rsid w:val="00E50843"/>
    <w:rsid w:val="00E50930"/>
    <w:rsid w:val="00E50A48"/>
    <w:rsid w:val="00E50D7F"/>
    <w:rsid w:val="00E50DB2"/>
    <w:rsid w:val="00E50E48"/>
    <w:rsid w:val="00E51085"/>
    <w:rsid w:val="00E51201"/>
    <w:rsid w:val="00E51312"/>
    <w:rsid w:val="00E51475"/>
    <w:rsid w:val="00E514E0"/>
    <w:rsid w:val="00E515BD"/>
    <w:rsid w:val="00E5164A"/>
    <w:rsid w:val="00E51F4B"/>
    <w:rsid w:val="00E52315"/>
    <w:rsid w:val="00E5293E"/>
    <w:rsid w:val="00E52CE9"/>
    <w:rsid w:val="00E52D1D"/>
    <w:rsid w:val="00E530F5"/>
    <w:rsid w:val="00E53191"/>
    <w:rsid w:val="00E53961"/>
    <w:rsid w:val="00E53A0F"/>
    <w:rsid w:val="00E54078"/>
    <w:rsid w:val="00E54767"/>
    <w:rsid w:val="00E548CE"/>
    <w:rsid w:val="00E549B9"/>
    <w:rsid w:val="00E54B23"/>
    <w:rsid w:val="00E54E93"/>
    <w:rsid w:val="00E54EB6"/>
    <w:rsid w:val="00E54EDD"/>
    <w:rsid w:val="00E55019"/>
    <w:rsid w:val="00E551D1"/>
    <w:rsid w:val="00E5521E"/>
    <w:rsid w:val="00E55C45"/>
    <w:rsid w:val="00E55FE3"/>
    <w:rsid w:val="00E5664F"/>
    <w:rsid w:val="00E569B9"/>
    <w:rsid w:val="00E56C8B"/>
    <w:rsid w:val="00E57396"/>
    <w:rsid w:val="00E5788F"/>
    <w:rsid w:val="00E57C95"/>
    <w:rsid w:val="00E57CFB"/>
    <w:rsid w:val="00E57D44"/>
    <w:rsid w:val="00E57DA2"/>
    <w:rsid w:val="00E60138"/>
    <w:rsid w:val="00E6023C"/>
    <w:rsid w:val="00E6083D"/>
    <w:rsid w:val="00E60BFF"/>
    <w:rsid w:val="00E60CB9"/>
    <w:rsid w:val="00E60D0A"/>
    <w:rsid w:val="00E61229"/>
    <w:rsid w:val="00E61A25"/>
    <w:rsid w:val="00E620CB"/>
    <w:rsid w:val="00E623F4"/>
    <w:rsid w:val="00E6251B"/>
    <w:rsid w:val="00E6289A"/>
    <w:rsid w:val="00E628C3"/>
    <w:rsid w:val="00E62CE3"/>
    <w:rsid w:val="00E62E56"/>
    <w:rsid w:val="00E63052"/>
    <w:rsid w:val="00E633FC"/>
    <w:rsid w:val="00E63DFD"/>
    <w:rsid w:val="00E63FB3"/>
    <w:rsid w:val="00E6421D"/>
    <w:rsid w:val="00E64334"/>
    <w:rsid w:val="00E6443D"/>
    <w:rsid w:val="00E644B0"/>
    <w:rsid w:val="00E64663"/>
    <w:rsid w:val="00E6482B"/>
    <w:rsid w:val="00E64933"/>
    <w:rsid w:val="00E64967"/>
    <w:rsid w:val="00E64C85"/>
    <w:rsid w:val="00E64EA4"/>
    <w:rsid w:val="00E64F02"/>
    <w:rsid w:val="00E650ED"/>
    <w:rsid w:val="00E65329"/>
    <w:rsid w:val="00E65701"/>
    <w:rsid w:val="00E65733"/>
    <w:rsid w:val="00E6618F"/>
    <w:rsid w:val="00E662B9"/>
    <w:rsid w:val="00E666A4"/>
    <w:rsid w:val="00E66825"/>
    <w:rsid w:val="00E66C31"/>
    <w:rsid w:val="00E66C6A"/>
    <w:rsid w:val="00E66DC3"/>
    <w:rsid w:val="00E672BF"/>
    <w:rsid w:val="00E67603"/>
    <w:rsid w:val="00E67708"/>
    <w:rsid w:val="00E67A0A"/>
    <w:rsid w:val="00E701C1"/>
    <w:rsid w:val="00E7086D"/>
    <w:rsid w:val="00E7087C"/>
    <w:rsid w:val="00E70ADB"/>
    <w:rsid w:val="00E70DF5"/>
    <w:rsid w:val="00E71F95"/>
    <w:rsid w:val="00E726ED"/>
    <w:rsid w:val="00E72DDA"/>
    <w:rsid w:val="00E72F8E"/>
    <w:rsid w:val="00E738E4"/>
    <w:rsid w:val="00E73AF4"/>
    <w:rsid w:val="00E74E1F"/>
    <w:rsid w:val="00E75059"/>
    <w:rsid w:val="00E7541B"/>
    <w:rsid w:val="00E755FF"/>
    <w:rsid w:val="00E758DF"/>
    <w:rsid w:val="00E75EB5"/>
    <w:rsid w:val="00E762D8"/>
    <w:rsid w:val="00E76682"/>
    <w:rsid w:val="00E767F9"/>
    <w:rsid w:val="00E771DD"/>
    <w:rsid w:val="00E775B3"/>
    <w:rsid w:val="00E77A70"/>
    <w:rsid w:val="00E77A89"/>
    <w:rsid w:val="00E77E22"/>
    <w:rsid w:val="00E80653"/>
    <w:rsid w:val="00E80AD0"/>
    <w:rsid w:val="00E814F1"/>
    <w:rsid w:val="00E8208C"/>
    <w:rsid w:val="00E83106"/>
    <w:rsid w:val="00E83446"/>
    <w:rsid w:val="00E83D6F"/>
    <w:rsid w:val="00E83E29"/>
    <w:rsid w:val="00E8422D"/>
    <w:rsid w:val="00E843C9"/>
    <w:rsid w:val="00E8495B"/>
    <w:rsid w:val="00E84C82"/>
    <w:rsid w:val="00E851B3"/>
    <w:rsid w:val="00E85453"/>
    <w:rsid w:val="00E8621B"/>
    <w:rsid w:val="00E86272"/>
    <w:rsid w:val="00E86DCD"/>
    <w:rsid w:val="00E86F28"/>
    <w:rsid w:val="00E870C8"/>
    <w:rsid w:val="00E872C5"/>
    <w:rsid w:val="00E9008F"/>
    <w:rsid w:val="00E90512"/>
    <w:rsid w:val="00E90DB5"/>
    <w:rsid w:val="00E910CE"/>
    <w:rsid w:val="00E913FB"/>
    <w:rsid w:val="00E91717"/>
    <w:rsid w:val="00E92B27"/>
    <w:rsid w:val="00E92B68"/>
    <w:rsid w:val="00E92B6C"/>
    <w:rsid w:val="00E92CD9"/>
    <w:rsid w:val="00E92F88"/>
    <w:rsid w:val="00E9330E"/>
    <w:rsid w:val="00E93E3E"/>
    <w:rsid w:val="00E93EF3"/>
    <w:rsid w:val="00E940B6"/>
    <w:rsid w:val="00E942E5"/>
    <w:rsid w:val="00E94391"/>
    <w:rsid w:val="00E947C0"/>
    <w:rsid w:val="00E94AD9"/>
    <w:rsid w:val="00E94CFC"/>
    <w:rsid w:val="00E96092"/>
    <w:rsid w:val="00E96556"/>
    <w:rsid w:val="00E96702"/>
    <w:rsid w:val="00E96992"/>
    <w:rsid w:val="00E96E95"/>
    <w:rsid w:val="00E973AE"/>
    <w:rsid w:val="00E97720"/>
    <w:rsid w:val="00E979C1"/>
    <w:rsid w:val="00E979CE"/>
    <w:rsid w:val="00EA00C6"/>
    <w:rsid w:val="00EA0101"/>
    <w:rsid w:val="00EA0115"/>
    <w:rsid w:val="00EA08EB"/>
    <w:rsid w:val="00EA0B2D"/>
    <w:rsid w:val="00EA0CEF"/>
    <w:rsid w:val="00EA131D"/>
    <w:rsid w:val="00EA152E"/>
    <w:rsid w:val="00EA1590"/>
    <w:rsid w:val="00EA176C"/>
    <w:rsid w:val="00EA17C3"/>
    <w:rsid w:val="00EA1C1C"/>
    <w:rsid w:val="00EA1E88"/>
    <w:rsid w:val="00EA1EB8"/>
    <w:rsid w:val="00EA283C"/>
    <w:rsid w:val="00EA2868"/>
    <w:rsid w:val="00EA288F"/>
    <w:rsid w:val="00EA2993"/>
    <w:rsid w:val="00EA2998"/>
    <w:rsid w:val="00EA2C12"/>
    <w:rsid w:val="00EA2C1F"/>
    <w:rsid w:val="00EA42F2"/>
    <w:rsid w:val="00EA44D0"/>
    <w:rsid w:val="00EA4544"/>
    <w:rsid w:val="00EA47BF"/>
    <w:rsid w:val="00EA4D46"/>
    <w:rsid w:val="00EA4E0E"/>
    <w:rsid w:val="00EA4E18"/>
    <w:rsid w:val="00EA5220"/>
    <w:rsid w:val="00EA5E06"/>
    <w:rsid w:val="00EA6876"/>
    <w:rsid w:val="00EA6BB3"/>
    <w:rsid w:val="00EA744A"/>
    <w:rsid w:val="00EA75AB"/>
    <w:rsid w:val="00EA7843"/>
    <w:rsid w:val="00EA7E3E"/>
    <w:rsid w:val="00EA7FF5"/>
    <w:rsid w:val="00EB01C8"/>
    <w:rsid w:val="00EB051C"/>
    <w:rsid w:val="00EB08A9"/>
    <w:rsid w:val="00EB08CE"/>
    <w:rsid w:val="00EB0B93"/>
    <w:rsid w:val="00EB0D0E"/>
    <w:rsid w:val="00EB126B"/>
    <w:rsid w:val="00EB1343"/>
    <w:rsid w:val="00EB174B"/>
    <w:rsid w:val="00EB1905"/>
    <w:rsid w:val="00EB23FD"/>
    <w:rsid w:val="00EB27B1"/>
    <w:rsid w:val="00EB2A57"/>
    <w:rsid w:val="00EB2B54"/>
    <w:rsid w:val="00EB2CD0"/>
    <w:rsid w:val="00EB30F3"/>
    <w:rsid w:val="00EB32FD"/>
    <w:rsid w:val="00EB336A"/>
    <w:rsid w:val="00EB3739"/>
    <w:rsid w:val="00EB39D2"/>
    <w:rsid w:val="00EB3AA3"/>
    <w:rsid w:val="00EB4375"/>
    <w:rsid w:val="00EB46E6"/>
    <w:rsid w:val="00EB511E"/>
    <w:rsid w:val="00EB5205"/>
    <w:rsid w:val="00EB53FF"/>
    <w:rsid w:val="00EB55D6"/>
    <w:rsid w:val="00EB58AF"/>
    <w:rsid w:val="00EB5A62"/>
    <w:rsid w:val="00EB5ECD"/>
    <w:rsid w:val="00EB5ED5"/>
    <w:rsid w:val="00EB5EEC"/>
    <w:rsid w:val="00EB6486"/>
    <w:rsid w:val="00EB6974"/>
    <w:rsid w:val="00EB6C81"/>
    <w:rsid w:val="00EB6D0E"/>
    <w:rsid w:val="00EB6FE4"/>
    <w:rsid w:val="00EB72CC"/>
    <w:rsid w:val="00EB77B8"/>
    <w:rsid w:val="00EB7969"/>
    <w:rsid w:val="00EB7A26"/>
    <w:rsid w:val="00EB7E6B"/>
    <w:rsid w:val="00EB7F2C"/>
    <w:rsid w:val="00EB7FD0"/>
    <w:rsid w:val="00EC0414"/>
    <w:rsid w:val="00EC07C7"/>
    <w:rsid w:val="00EC0C79"/>
    <w:rsid w:val="00EC0DD6"/>
    <w:rsid w:val="00EC0DDE"/>
    <w:rsid w:val="00EC1E68"/>
    <w:rsid w:val="00EC1EB3"/>
    <w:rsid w:val="00EC1F52"/>
    <w:rsid w:val="00EC244E"/>
    <w:rsid w:val="00EC299F"/>
    <w:rsid w:val="00EC2B42"/>
    <w:rsid w:val="00EC2F15"/>
    <w:rsid w:val="00EC3137"/>
    <w:rsid w:val="00EC3244"/>
    <w:rsid w:val="00EC3337"/>
    <w:rsid w:val="00EC3350"/>
    <w:rsid w:val="00EC35E4"/>
    <w:rsid w:val="00EC35F8"/>
    <w:rsid w:val="00EC3AA1"/>
    <w:rsid w:val="00EC4068"/>
    <w:rsid w:val="00EC41CB"/>
    <w:rsid w:val="00EC4865"/>
    <w:rsid w:val="00EC4C2B"/>
    <w:rsid w:val="00EC50E2"/>
    <w:rsid w:val="00EC55BF"/>
    <w:rsid w:val="00EC58AB"/>
    <w:rsid w:val="00EC5A5B"/>
    <w:rsid w:val="00EC5B08"/>
    <w:rsid w:val="00EC5B36"/>
    <w:rsid w:val="00EC5B6C"/>
    <w:rsid w:val="00EC61AC"/>
    <w:rsid w:val="00EC6306"/>
    <w:rsid w:val="00EC6357"/>
    <w:rsid w:val="00EC64B5"/>
    <w:rsid w:val="00EC6698"/>
    <w:rsid w:val="00EC67CE"/>
    <w:rsid w:val="00EC6A22"/>
    <w:rsid w:val="00EC6C25"/>
    <w:rsid w:val="00EC730B"/>
    <w:rsid w:val="00EC7C96"/>
    <w:rsid w:val="00EC7ED6"/>
    <w:rsid w:val="00ED08AF"/>
    <w:rsid w:val="00ED0B1B"/>
    <w:rsid w:val="00ED10B8"/>
    <w:rsid w:val="00ED2025"/>
    <w:rsid w:val="00ED27E7"/>
    <w:rsid w:val="00ED2FC6"/>
    <w:rsid w:val="00ED36FA"/>
    <w:rsid w:val="00ED381C"/>
    <w:rsid w:val="00ED38F7"/>
    <w:rsid w:val="00ED3BA3"/>
    <w:rsid w:val="00ED3C9D"/>
    <w:rsid w:val="00ED3D8B"/>
    <w:rsid w:val="00ED3E15"/>
    <w:rsid w:val="00ED40C5"/>
    <w:rsid w:val="00ED4267"/>
    <w:rsid w:val="00ED44D9"/>
    <w:rsid w:val="00ED54EF"/>
    <w:rsid w:val="00ED5A5F"/>
    <w:rsid w:val="00ED5ABD"/>
    <w:rsid w:val="00ED5EDF"/>
    <w:rsid w:val="00ED6351"/>
    <w:rsid w:val="00ED7156"/>
    <w:rsid w:val="00ED7306"/>
    <w:rsid w:val="00ED7A22"/>
    <w:rsid w:val="00ED7CE8"/>
    <w:rsid w:val="00ED7DCC"/>
    <w:rsid w:val="00EE023B"/>
    <w:rsid w:val="00EE06BA"/>
    <w:rsid w:val="00EE0882"/>
    <w:rsid w:val="00EE0BC5"/>
    <w:rsid w:val="00EE0D29"/>
    <w:rsid w:val="00EE0F16"/>
    <w:rsid w:val="00EE131D"/>
    <w:rsid w:val="00EE1445"/>
    <w:rsid w:val="00EE16E7"/>
    <w:rsid w:val="00EE1822"/>
    <w:rsid w:val="00EE1988"/>
    <w:rsid w:val="00EE1B69"/>
    <w:rsid w:val="00EE1CEF"/>
    <w:rsid w:val="00EE1D4D"/>
    <w:rsid w:val="00EE1D9E"/>
    <w:rsid w:val="00EE1E56"/>
    <w:rsid w:val="00EE2232"/>
    <w:rsid w:val="00EE22B7"/>
    <w:rsid w:val="00EE2312"/>
    <w:rsid w:val="00EE2E01"/>
    <w:rsid w:val="00EE309F"/>
    <w:rsid w:val="00EE30C1"/>
    <w:rsid w:val="00EE31EB"/>
    <w:rsid w:val="00EE3217"/>
    <w:rsid w:val="00EE3612"/>
    <w:rsid w:val="00EE3B01"/>
    <w:rsid w:val="00EE3CC1"/>
    <w:rsid w:val="00EE3D49"/>
    <w:rsid w:val="00EE3DA1"/>
    <w:rsid w:val="00EE41C5"/>
    <w:rsid w:val="00EE4678"/>
    <w:rsid w:val="00EE4A2F"/>
    <w:rsid w:val="00EE4B80"/>
    <w:rsid w:val="00EE519B"/>
    <w:rsid w:val="00EE531C"/>
    <w:rsid w:val="00EE593F"/>
    <w:rsid w:val="00EE5E19"/>
    <w:rsid w:val="00EE6077"/>
    <w:rsid w:val="00EE6BE4"/>
    <w:rsid w:val="00EE71AF"/>
    <w:rsid w:val="00EE75A1"/>
    <w:rsid w:val="00EE769B"/>
    <w:rsid w:val="00EE776A"/>
    <w:rsid w:val="00EE782C"/>
    <w:rsid w:val="00EE7A5E"/>
    <w:rsid w:val="00EE7AC9"/>
    <w:rsid w:val="00EE7BCA"/>
    <w:rsid w:val="00EF05BB"/>
    <w:rsid w:val="00EF0780"/>
    <w:rsid w:val="00EF0A75"/>
    <w:rsid w:val="00EF1263"/>
    <w:rsid w:val="00EF1D8F"/>
    <w:rsid w:val="00EF2377"/>
    <w:rsid w:val="00EF2916"/>
    <w:rsid w:val="00EF2BB8"/>
    <w:rsid w:val="00EF315E"/>
    <w:rsid w:val="00EF31B5"/>
    <w:rsid w:val="00EF3485"/>
    <w:rsid w:val="00EF35E4"/>
    <w:rsid w:val="00EF3823"/>
    <w:rsid w:val="00EF409A"/>
    <w:rsid w:val="00EF4416"/>
    <w:rsid w:val="00EF47D8"/>
    <w:rsid w:val="00EF485E"/>
    <w:rsid w:val="00EF48F5"/>
    <w:rsid w:val="00EF4EFD"/>
    <w:rsid w:val="00EF5272"/>
    <w:rsid w:val="00EF53D9"/>
    <w:rsid w:val="00EF565E"/>
    <w:rsid w:val="00EF5FC2"/>
    <w:rsid w:val="00EF6806"/>
    <w:rsid w:val="00EF68D4"/>
    <w:rsid w:val="00EF6A34"/>
    <w:rsid w:val="00EF6A42"/>
    <w:rsid w:val="00EF6B67"/>
    <w:rsid w:val="00EF7295"/>
    <w:rsid w:val="00EF78FB"/>
    <w:rsid w:val="00F003CE"/>
    <w:rsid w:val="00F018DB"/>
    <w:rsid w:val="00F01FDA"/>
    <w:rsid w:val="00F02066"/>
    <w:rsid w:val="00F03049"/>
    <w:rsid w:val="00F033DE"/>
    <w:rsid w:val="00F038AD"/>
    <w:rsid w:val="00F038EB"/>
    <w:rsid w:val="00F038F1"/>
    <w:rsid w:val="00F038F7"/>
    <w:rsid w:val="00F03B69"/>
    <w:rsid w:val="00F03D92"/>
    <w:rsid w:val="00F03F9A"/>
    <w:rsid w:val="00F04A33"/>
    <w:rsid w:val="00F0522D"/>
    <w:rsid w:val="00F05848"/>
    <w:rsid w:val="00F06197"/>
    <w:rsid w:val="00F062C7"/>
    <w:rsid w:val="00F063A1"/>
    <w:rsid w:val="00F06457"/>
    <w:rsid w:val="00F065F5"/>
    <w:rsid w:val="00F06681"/>
    <w:rsid w:val="00F06D09"/>
    <w:rsid w:val="00F06E6D"/>
    <w:rsid w:val="00F07396"/>
    <w:rsid w:val="00F073F8"/>
    <w:rsid w:val="00F07A0C"/>
    <w:rsid w:val="00F07B12"/>
    <w:rsid w:val="00F07E73"/>
    <w:rsid w:val="00F1037E"/>
    <w:rsid w:val="00F1058A"/>
    <w:rsid w:val="00F10E15"/>
    <w:rsid w:val="00F11002"/>
    <w:rsid w:val="00F1146B"/>
    <w:rsid w:val="00F11985"/>
    <w:rsid w:val="00F11995"/>
    <w:rsid w:val="00F11C1D"/>
    <w:rsid w:val="00F11EF2"/>
    <w:rsid w:val="00F12166"/>
    <w:rsid w:val="00F1239F"/>
    <w:rsid w:val="00F12434"/>
    <w:rsid w:val="00F1255A"/>
    <w:rsid w:val="00F12DA9"/>
    <w:rsid w:val="00F12FE7"/>
    <w:rsid w:val="00F13022"/>
    <w:rsid w:val="00F13361"/>
    <w:rsid w:val="00F133B4"/>
    <w:rsid w:val="00F13491"/>
    <w:rsid w:val="00F13705"/>
    <w:rsid w:val="00F138EC"/>
    <w:rsid w:val="00F13DD6"/>
    <w:rsid w:val="00F13F24"/>
    <w:rsid w:val="00F14507"/>
    <w:rsid w:val="00F14670"/>
    <w:rsid w:val="00F146E0"/>
    <w:rsid w:val="00F148E5"/>
    <w:rsid w:val="00F14A55"/>
    <w:rsid w:val="00F14A99"/>
    <w:rsid w:val="00F14BD1"/>
    <w:rsid w:val="00F14DC3"/>
    <w:rsid w:val="00F152B7"/>
    <w:rsid w:val="00F154B4"/>
    <w:rsid w:val="00F1557E"/>
    <w:rsid w:val="00F155A5"/>
    <w:rsid w:val="00F15972"/>
    <w:rsid w:val="00F15AAB"/>
    <w:rsid w:val="00F1634A"/>
    <w:rsid w:val="00F1731C"/>
    <w:rsid w:val="00F17BA8"/>
    <w:rsid w:val="00F20074"/>
    <w:rsid w:val="00F20724"/>
    <w:rsid w:val="00F20AC9"/>
    <w:rsid w:val="00F20C09"/>
    <w:rsid w:val="00F20C1F"/>
    <w:rsid w:val="00F20FFD"/>
    <w:rsid w:val="00F2101F"/>
    <w:rsid w:val="00F213C3"/>
    <w:rsid w:val="00F21901"/>
    <w:rsid w:val="00F2191A"/>
    <w:rsid w:val="00F22064"/>
    <w:rsid w:val="00F222C2"/>
    <w:rsid w:val="00F229E3"/>
    <w:rsid w:val="00F22F7E"/>
    <w:rsid w:val="00F23065"/>
    <w:rsid w:val="00F2306A"/>
    <w:rsid w:val="00F2329D"/>
    <w:rsid w:val="00F2350E"/>
    <w:rsid w:val="00F23756"/>
    <w:rsid w:val="00F23BE4"/>
    <w:rsid w:val="00F23F5E"/>
    <w:rsid w:val="00F23FDA"/>
    <w:rsid w:val="00F2409C"/>
    <w:rsid w:val="00F24211"/>
    <w:rsid w:val="00F2435F"/>
    <w:rsid w:val="00F243CA"/>
    <w:rsid w:val="00F2440C"/>
    <w:rsid w:val="00F2453B"/>
    <w:rsid w:val="00F245B7"/>
    <w:rsid w:val="00F2476C"/>
    <w:rsid w:val="00F24BC2"/>
    <w:rsid w:val="00F24D7D"/>
    <w:rsid w:val="00F24DF1"/>
    <w:rsid w:val="00F24FD9"/>
    <w:rsid w:val="00F25278"/>
    <w:rsid w:val="00F253C8"/>
    <w:rsid w:val="00F257BC"/>
    <w:rsid w:val="00F258C9"/>
    <w:rsid w:val="00F25A7F"/>
    <w:rsid w:val="00F25AF0"/>
    <w:rsid w:val="00F25C3F"/>
    <w:rsid w:val="00F262D8"/>
    <w:rsid w:val="00F26889"/>
    <w:rsid w:val="00F26F84"/>
    <w:rsid w:val="00F27045"/>
    <w:rsid w:val="00F27331"/>
    <w:rsid w:val="00F27695"/>
    <w:rsid w:val="00F27755"/>
    <w:rsid w:val="00F27DA3"/>
    <w:rsid w:val="00F30180"/>
    <w:rsid w:val="00F301AB"/>
    <w:rsid w:val="00F301D3"/>
    <w:rsid w:val="00F30450"/>
    <w:rsid w:val="00F30960"/>
    <w:rsid w:val="00F309D0"/>
    <w:rsid w:val="00F30BDF"/>
    <w:rsid w:val="00F31521"/>
    <w:rsid w:val="00F316A3"/>
    <w:rsid w:val="00F319E7"/>
    <w:rsid w:val="00F31A84"/>
    <w:rsid w:val="00F31C7F"/>
    <w:rsid w:val="00F31F88"/>
    <w:rsid w:val="00F3211E"/>
    <w:rsid w:val="00F32304"/>
    <w:rsid w:val="00F32BC8"/>
    <w:rsid w:val="00F33119"/>
    <w:rsid w:val="00F332C1"/>
    <w:rsid w:val="00F33BDC"/>
    <w:rsid w:val="00F33BE8"/>
    <w:rsid w:val="00F3429E"/>
    <w:rsid w:val="00F34A9D"/>
    <w:rsid w:val="00F35357"/>
    <w:rsid w:val="00F35362"/>
    <w:rsid w:val="00F3565C"/>
    <w:rsid w:val="00F3567B"/>
    <w:rsid w:val="00F35BD8"/>
    <w:rsid w:val="00F35C0D"/>
    <w:rsid w:val="00F3601E"/>
    <w:rsid w:val="00F36114"/>
    <w:rsid w:val="00F36442"/>
    <w:rsid w:val="00F36CF2"/>
    <w:rsid w:val="00F36EBE"/>
    <w:rsid w:val="00F371D0"/>
    <w:rsid w:val="00F373E4"/>
    <w:rsid w:val="00F37A5D"/>
    <w:rsid w:val="00F40079"/>
    <w:rsid w:val="00F40540"/>
    <w:rsid w:val="00F40CF8"/>
    <w:rsid w:val="00F41417"/>
    <w:rsid w:val="00F4175D"/>
    <w:rsid w:val="00F419E1"/>
    <w:rsid w:val="00F41A87"/>
    <w:rsid w:val="00F42124"/>
    <w:rsid w:val="00F4276F"/>
    <w:rsid w:val="00F427DF"/>
    <w:rsid w:val="00F42D43"/>
    <w:rsid w:val="00F42E25"/>
    <w:rsid w:val="00F437F0"/>
    <w:rsid w:val="00F439C4"/>
    <w:rsid w:val="00F43A92"/>
    <w:rsid w:val="00F43C90"/>
    <w:rsid w:val="00F44043"/>
    <w:rsid w:val="00F44337"/>
    <w:rsid w:val="00F44624"/>
    <w:rsid w:val="00F449C7"/>
    <w:rsid w:val="00F44AB0"/>
    <w:rsid w:val="00F4545D"/>
    <w:rsid w:val="00F458A3"/>
    <w:rsid w:val="00F458FD"/>
    <w:rsid w:val="00F45B48"/>
    <w:rsid w:val="00F45C22"/>
    <w:rsid w:val="00F45EF3"/>
    <w:rsid w:val="00F46244"/>
    <w:rsid w:val="00F465BA"/>
    <w:rsid w:val="00F465BE"/>
    <w:rsid w:val="00F46673"/>
    <w:rsid w:val="00F47129"/>
    <w:rsid w:val="00F477A3"/>
    <w:rsid w:val="00F47DCD"/>
    <w:rsid w:val="00F47DE6"/>
    <w:rsid w:val="00F47FEE"/>
    <w:rsid w:val="00F50CCC"/>
    <w:rsid w:val="00F50CCF"/>
    <w:rsid w:val="00F510D8"/>
    <w:rsid w:val="00F511DE"/>
    <w:rsid w:val="00F51276"/>
    <w:rsid w:val="00F51C16"/>
    <w:rsid w:val="00F51F4B"/>
    <w:rsid w:val="00F5337A"/>
    <w:rsid w:val="00F53442"/>
    <w:rsid w:val="00F534C2"/>
    <w:rsid w:val="00F53587"/>
    <w:rsid w:val="00F53710"/>
    <w:rsid w:val="00F53B52"/>
    <w:rsid w:val="00F5437B"/>
    <w:rsid w:val="00F54400"/>
    <w:rsid w:val="00F54BBA"/>
    <w:rsid w:val="00F5510E"/>
    <w:rsid w:val="00F554FA"/>
    <w:rsid w:val="00F55A64"/>
    <w:rsid w:val="00F55F6E"/>
    <w:rsid w:val="00F55FF0"/>
    <w:rsid w:val="00F56053"/>
    <w:rsid w:val="00F56241"/>
    <w:rsid w:val="00F56852"/>
    <w:rsid w:val="00F568B2"/>
    <w:rsid w:val="00F568DF"/>
    <w:rsid w:val="00F56E86"/>
    <w:rsid w:val="00F56E92"/>
    <w:rsid w:val="00F57009"/>
    <w:rsid w:val="00F57023"/>
    <w:rsid w:val="00F5719E"/>
    <w:rsid w:val="00F57288"/>
    <w:rsid w:val="00F575D3"/>
    <w:rsid w:val="00F578B4"/>
    <w:rsid w:val="00F5791C"/>
    <w:rsid w:val="00F57A62"/>
    <w:rsid w:val="00F57A66"/>
    <w:rsid w:val="00F60553"/>
    <w:rsid w:val="00F60FD4"/>
    <w:rsid w:val="00F617C2"/>
    <w:rsid w:val="00F617F5"/>
    <w:rsid w:val="00F623A7"/>
    <w:rsid w:val="00F6254A"/>
    <w:rsid w:val="00F62B99"/>
    <w:rsid w:val="00F63E72"/>
    <w:rsid w:val="00F64397"/>
    <w:rsid w:val="00F650FA"/>
    <w:rsid w:val="00F655F1"/>
    <w:rsid w:val="00F65EA3"/>
    <w:rsid w:val="00F6600E"/>
    <w:rsid w:val="00F669C8"/>
    <w:rsid w:val="00F675E0"/>
    <w:rsid w:val="00F675F6"/>
    <w:rsid w:val="00F6760A"/>
    <w:rsid w:val="00F7066A"/>
    <w:rsid w:val="00F7072E"/>
    <w:rsid w:val="00F70749"/>
    <w:rsid w:val="00F70B5E"/>
    <w:rsid w:val="00F70C51"/>
    <w:rsid w:val="00F7159F"/>
    <w:rsid w:val="00F71CC5"/>
    <w:rsid w:val="00F72769"/>
    <w:rsid w:val="00F72BB9"/>
    <w:rsid w:val="00F731C8"/>
    <w:rsid w:val="00F7330A"/>
    <w:rsid w:val="00F74A3D"/>
    <w:rsid w:val="00F74A70"/>
    <w:rsid w:val="00F74B26"/>
    <w:rsid w:val="00F74B59"/>
    <w:rsid w:val="00F75417"/>
    <w:rsid w:val="00F754B7"/>
    <w:rsid w:val="00F75813"/>
    <w:rsid w:val="00F75BA6"/>
    <w:rsid w:val="00F76204"/>
    <w:rsid w:val="00F76670"/>
    <w:rsid w:val="00F7684D"/>
    <w:rsid w:val="00F775EE"/>
    <w:rsid w:val="00F77679"/>
    <w:rsid w:val="00F77AC7"/>
    <w:rsid w:val="00F77CD2"/>
    <w:rsid w:val="00F77DBE"/>
    <w:rsid w:val="00F77FF4"/>
    <w:rsid w:val="00F80281"/>
    <w:rsid w:val="00F80295"/>
    <w:rsid w:val="00F804CB"/>
    <w:rsid w:val="00F8107F"/>
    <w:rsid w:val="00F81C9C"/>
    <w:rsid w:val="00F8200B"/>
    <w:rsid w:val="00F82593"/>
    <w:rsid w:val="00F8283D"/>
    <w:rsid w:val="00F829A1"/>
    <w:rsid w:val="00F82DFD"/>
    <w:rsid w:val="00F82E25"/>
    <w:rsid w:val="00F831B5"/>
    <w:rsid w:val="00F83548"/>
    <w:rsid w:val="00F83844"/>
    <w:rsid w:val="00F83C27"/>
    <w:rsid w:val="00F83CB3"/>
    <w:rsid w:val="00F840AF"/>
    <w:rsid w:val="00F8433A"/>
    <w:rsid w:val="00F8440C"/>
    <w:rsid w:val="00F845AC"/>
    <w:rsid w:val="00F84663"/>
    <w:rsid w:val="00F848DA"/>
    <w:rsid w:val="00F84FC9"/>
    <w:rsid w:val="00F85454"/>
    <w:rsid w:val="00F85F93"/>
    <w:rsid w:val="00F85FF1"/>
    <w:rsid w:val="00F85FFF"/>
    <w:rsid w:val="00F863CF"/>
    <w:rsid w:val="00F864BA"/>
    <w:rsid w:val="00F869A0"/>
    <w:rsid w:val="00F87017"/>
    <w:rsid w:val="00F87035"/>
    <w:rsid w:val="00F874DC"/>
    <w:rsid w:val="00F87894"/>
    <w:rsid w:val="00F87907"/>
    <w:rsid w:val="00F87E01"/>
    <w:rsid w:val="00F87F50"/>
    <w:rsid w:val="00F90008"/>
    <w:rsid w:val="00F9026B"/>
    <w:rsid w:val="00F90A51"/>
    <w:rsid w:val="00F90D64"/>
    <w:rsid w:val="00F913A4"/>
    <w:rsid w:val="00F913F4"/>
    <w:rsid w:val="00F914B7"/>
    <w:rsid w:val="00F91F14"/>
    <w:rsid w:val="00F92115"/>
    <w:rsid w:val="00F921B9"/>
    <w:rsid w:val="00F9249A"/>
    <w:rsid w:val="00F92B02"/>
    <w:rsid w:val="00F93513"/>
    <w:rsid w:val="00F93D4D"/>
    <w:rsid w:val="00F94057"/>
    <w:rsid w:val="00F942A5"/>
    <w:rsid w:val="00F9469C"/>
    <w:rsid w:val="00F95354"/>
    <w:rsid w:val="00F95A6E"/>
    <w:rsid w:val="00F95C2F"/>
    <w:rsid w:val="00F95CE7"/>
    <w:rsid w:val="00F960E9"/>
    <w:rsid w:val="00F961E7"/>
    <w:rsid w:val="00F96637"/>
    <w:rsid w:val="00F96BC5"/>
    <w:rsid w:val="00F96D6E"/>
    <w:rsid w:val="00F97261"/>
    <w:rsid w:val="00F97427"/>
    <w:rsid w:val="00F97893"/>
    <w:rsid w:val="00F97FB5"/>
    <w:rsid w:val="00F97FDB"/>
    <w:rsid w:val="00FA0236"/>
    <w:rsid w:val="00FA0C1F"/>
    <w:rsid w:val="00FA15B6"/>
    <w:rsid w:val="00FA2043"/>
    <w:rsid w:val="00FA22F8"/>
    <w:rsid w:val="00FA2533"/>
    <w:rsid w:val="00FA257A"/>
    <w:rsid w:val="00FA25E0"/>
    <w:rsid w:val="00FA27DE"/>
    <w:rsid w:val="00FA2B92"/>
    <w:rsid w:val="00FA2CB3"/>
    <w:rsid w:val="00FA2CC4"/>
    <w:rsid w:val="00FA2D5D"/>
    <w:rsid w:val="00FA2E5B"/>
    <w:rsid w:val="00FA3715"/>
    <w:rsid w:val="00FA3955"/>
    <w:rsid w:val="00FA3C39"/>
    <w:rsid w:val="00FA4505"/>
    <w:rsid w:val="00FA47E2"/>
    <w:rsid w:val="00FA4801"/>
    <w:rsid w:val="00FA5086"/>
    <w:rsid w:val="00FA5266"/>
    <w:rsid w:val="00FA53C5"/>
    <w:rsid w:val="00FA5FD5"/>
    <w:rsid w:val="00FA60CA"/>
    <w:rsid w:val="00FA676C"/>
    <w:rsid w:val="00FA6791"/>
    <w:rsid w:val="00FA697F"/>
    <w:rsid w:val="00FA6A14"/>
    <w:rsid w:val="00FA6B17"/>
    <w:rsid w:val="00FA71B1"/>
    <w:rsid w:val="00FA7257"/>
    <w:rsid w:val="00FA72C1"/>
    <w:rsid w:val="00FA732C"/>
    <w:rsid w:val="00FA7458"/>
    <w:rsid w:val="00FA74DD"/>
    <w:rsid w:val="00FA74E2"/>
    <w:rsid w:val="00FA769D"/>
    <w:rsid w:val="00FA7A60"/>
    <w:rsid w:val="00FA7C84"/>
    <w:rsid w:val="00FA7E01"/>
    <w:rsid w:val="00FA7EBB"/>
    <w:rsid w:val="00FB06BB"/>
    <w:rsid w:val="00FB08A2"/>
    <w:rsid w:val="00FB08FE"/>
    <w:rsid w:val="00FB0FC7"/>
    <w:rsid w:val="00FB19B2"/>
    <w:rsid w:val="00FB1CA0"/>
    <w:rsid w:val="00FB22D7"/>
    <w:rsid w:val="00FB2481"/>
    <w:rsid w:val="00FB2F5C"/>
    <w:rsid w:val="00FB310A"/>
    <w:rsid w:val="00FB31E6"/>
    <w:rsid w:val="00FB34E4"/>
    <w:rsid w:val="00FB351B"/>
    <w:rsid w:val="00FB48FE"/>
    <w:rsid w:val="00FB4A53"/>
    <w:rsid w:val="00FB4E13"/>
    <w:rsid w:val="00FB509C"/>
    <w:rsid w:val="00FB51C9"/>
    <w:rsid w:val="00FB52EB"/>
    <w:rsid w:val="00FB5340"/>
    <w:rsid w:val="00FB56DB"/>
    <w:rsid w:val="00FB61A6"/>
    <w:rsid w:val="00FB6AE9"/>
    <w:rsid w:val="00FB7684"/>
    <w:rsid w:val="00FB76E6"/>
    <w:rsid w:val="00FB78F0"/>
    <w:rsid w:val="00FB7D4D"/>
    <w:rsid w:val="00FB7D59"/>
    <w:rsid w:val="00FC00DB"/>
    <w:rsid w:val="00FC020E"/>
    <w:rsid w:val="00FC02E9"/>
    <w:rsid w:val="00FC0392"/>
    <w:rsid w:val="00FC115C"/>
    <w:rsid w:val="00FC1857"/>
    <w:rsid w:val="00FC18A0"/>
    <w:rsid w:val="00FC1ED0"/>
    <w:rsid w:val="00FC1F9A"/>
    <w:rsid w:val="00FC1FFC"/>
    <w:rsid w:val="00FC2588"/>
    <w:rsid w:val="00FC2674"/>
    <w:rsid w:val="00FC2AEB"/>
    <w:rsid w:val="00FC2BC8"/>
    <w:rsid w:val="00FC3030"/>
    <w:rsid w:val="00FC3222"/>
    <w:rsid w:val="00FC352B"/>
    <w:rsid w:val="00FC35CF"/>
    <w:rsid w:val="00FC376F"/>
    <w:rsid w:val="00FC37C0"/>
    <w:rsid w:val="00FC3A4A"/>
    <w:rsid w:val="00FC3B5B"/>
    <w:rsid w:val="00FC3F54"/>
    <w:rsid w:val="00FC4285"/>
    <w:rsid w:val="00FC429F"/>
    <w:rsid w:val="00FC45C9"/>
    <w:rsid w:val="00FC45D8"/>
    <w:rsid w:val="00FC4702"/>
    <w:rsid w:val="00FC47D7"/>
    <w:rsid w:val="00FC4E7B"/>
    <w:rsid w:val="00FC5475"/>
    <w:rsid w:val="00FC595D"/>
    <w:rsid w:val="00FC5962"/>
    <w:rsid w:val="00FC5E3D"/>
    <w:rsid w:val="00FC6299"/>
    <w:rsid w:val="00FC675B"/>
    <w:rsid w:val="00FC694A"/>
    <w:rsid w:val="00FC6A08"/>
    <w:rsid w:val="00FC6B30"/>
    <w:rsid w:val="00FC6C7D"/>
    <w:rsid w:val="00FC7595"/>
    <w:rsid w:val="00FC7620"/>
    <w:rsid w:val="00FC7878"/>
    <w:rsid w:val="00FC7C46"/>
    <w:rsid w:val="00FC7C66"/>
    <w:rsid w:val="00FC7D21"/>
    <w:rsid w:val="00FD010F"/>
    <w:rsid w:val="00FD0204"/>
    <w:rsid w:val="00FD0966"/>
    <w:rsid w:val="00FD16E7"/>
    <w:rsid w:val="00FD1753"/>
    <w:rsid w:val="00FD18DC"/>
    <w:rsid w:val="00FD19EB"/>
    <w:rsid w:val="00FD1D39"/>
    <w:rsid w:val="00FD1EF5"/>
    <w:rsid w:val="00FD23A2"/>
    <w:rsid w:val="00FD242D"/>
    <w:rsid w:val="00FD28EC"/>
    <w:rsid w:val="00FD299A"/>
    <w:rsid w:val="00FD2A37"/>
    <w:rsid w:val="00FD3071"/>
    <w:rsid w:val="00FD36DC"/>
    <w:rsid w:val="00FD3C66"/>
    <w:rsid w:val="00FD40AB"/>
    <w:rsid w:val="00FD41C4"/>
    <w:rsid w:val="00FD41CA"/>
    <w:rsid w:val="00FD4286"/>
    <w:rsid w:val="00FD46CD"/>
    <w:rsid w:val="00FD4B48"/>
    <w:rsid w:val="00FD4D79"/>
    <w:rsid w:val="00FD5096"/>
    <w:rsid w:val="00FD5710"/>
    <w:rsid w:val="00FD611E"/>
    <w:rsid w:val="00FD61AD"/>
    <w:rsid w:val="00FD6705"/>
    <w:rsid w:val="00FD6928"/>
    <w:rsid w:val="00FD6C92"/>
    <w:rsid w:val="00FD6F9D"/>
    <w:rsid w:val="00FD70CB"/>
    <w:rsid w:val="00FD71E0"/>
    <w:rsid w:val="00FD7467"/>
    <w:rsid w:val="00FD7606"/>
    <w:rsid w:val="00FD7AF6"/>
    <w:rsid w:val="00FD7BA1"/>
    <w:rsid w:val="00FD7BB5"/>
    <w:rsid w:val="00FE0339"/>
    <w:rsid w:val="00FE0812"/>
    <w:rsid w:val="00FE187A"/>
    <w:rsid w:val="00FE21F1"/>
    <w:rsid w:val="00FE2E97"/>
    <w:rsid w:val="00FE3AAA"/>
    <w:rsid w:val="00FE4300"/>
    <w:rsid w:val="00FE431B"/>
    <w:rsid w:val="00FE439D"/>
    <w:rsid w:val="00FE480D"/>
    <w:rsid w:val="00FE4974"/>
    <w:rsid w:val="00FE4A84"/>
    <w:rsid w:val="00FE4CBB"/>
    <w:rsid w:val="00FE4FA0"/>
    <w:rsid w:val="00FE528B"/>
    <w:rsid w:val="00FE5488"/>
    <w:rsid w:val="00FE578F"/>
    <w:rsid w:val="00FE58BD"/>
    <w:rsid w:val="00FE6256"/>
    <w:rsid w:val="00FE6558"/>
    <w:rsid w:val="00FE6896"/>
    <w:rsid w:val="00FE6B4F"/>
    <w:rsid w:val="00FE6DF7"/>
    <w:rsid w:val="00FE7465"/>
    <w:rsid w:val="00FE77ED"/>
    <w:rsid w:val="00FE7A96"/>
    <w:rsid w:val="00FE7B6B"/>
    <w:rsid w:val="00FE7DC5"/>
    <w:rsid w:val="00FE7E57"/>
    <w:rsid w:val="00FF005C"/>
    <w:rsid w:val="00FF0642"/>
    <w:rsid w:val="00FF07EF"/>
    <w:rsid w:val="00FF0941"/>
    <w:rsid w:val="00FF0CE2"/>
    <w:rsid w:val="00FF1344"/>
    <w:rsid w:val="00FF1BBF"/>
    <w:rsid w:val="00FF1E75"/>
    <w:rsid w:val="00FF262E"/>
    <w:rsid w:val="00FF314B"/>
    <w:rsid w:val="00FF3159"/>
    <w:rsid w:val="00FF32AA"/>
    <w:rsid w:val="00FF3341"/>
    <w:rsid w:val="00FF4061"/>
    <w:rsid w:val="00FF4107"/>
    <w:rsid w:val="00FF44A1"/>
    <w:rsid w:val="00FF493B"/>
    <w:rsid w:val="00FF4A5C"/>
    <w:rsid w:val="00FF4AEE"/>
    <w:rsid w:val="00FF4AF6"/>
    <w:rsid w:val="00FF4CAD"/>
    <w:rsid w:val="00FF51DB"/>
    <w:rsid w:val="00FF5219"/>
    <w:rsid w:val="00FF53BB"/>
    <w:rsid w:val="00FF54C8"/>
    <w:rsid w:val="00FF5606"/>
    <w:rsid w:val="00FF5D05"/>
    <w:rsid w:val="00FF62E6"/>
    <w:rsid w:val="00FF6300"/>
    <w:rsid w:val="00FF6438"/>
    <w:rsid w:val="00FF6604"/>
    <w:rsid w:val="00FF68E2"/>
    <w:rsid w:val="00FF6B8C"/>
    <w:rsid w:val="00FF6F8F"/>
    <w:rsid w:val="00FF74C6"/>
    <w:rsid w:val="00FF75C9"/>
    <w:rsid w:val="00FF7987"/>
    <w:rsid w:val="00FF7EF8"/>
    <w:rsid w:val="00FF7FEF"/>
    <w:rsid w:val="014EBF12"/>
    <w:rsid w:val="0171CF74"/>
    <w:rsid w:val="018E02DF"/>
    <w:rsid w:val="01FF2F65"/>
    <w:rsid w:val="0232C6AC"/>
    <w:rsid w:val="03D22CFD"/>
    <w:rsid w:val="05133EEE"/>
    <w:rsid w:val="0544DA3F"/>
    <w:rsid w:val="054BE72E"/>
    <w:rsid w:val="058DD6CE"/>
    <w:rsid w:val="06326FD0"/>
    <w:rsid w:val="07C56BA1"/>
    <w:rsid w:val="07F6BC60"/>
    <w:rsid w:val="0850F369"/>
    <w:rsid w:val="088A9D50"/>
    <w:rsid w:val="090898F0"/>
    <w:rsid w:val="0935F444"/>
    <w:rsid w:val="09D1CC4C"/>
    <w:rsid w:val="0A040EC8"/>
    <w:rsid w:val="0A32685C"/>
    <w:rsid w:val="0AA9992A"/>
    <w:rsid w:val="0AD223C6"/>
    <w:rsid w:val="0B02004C"/>
    <w:rsid w:val="0B17E64E"/>
    <w:rsid w:val="0B52DFD5"/>
    <w:rsid w:val="0BEAD8AD"/>
    <w:rsid w:val="0C558ACC"/>
    <w:rsid w:val="0CD16B4B"/>
    <w:rsid w:val="0CD89452"/>
    <w:rsid w:val="0DFC47A8"/>
    <w:rsid w:val="0E226F6B"/>
    <w:rsid w:val="0E6A3BD1"/>
    <w:rsid w:val="0E99B898"/>
    <w:rsid w:val="0EE5087B"/>
    <w:rsid w:val="0F66AEC4"/>
    <w:rsid w:val="0F6F07C5"/>
    <w:rsid w:val="0FAD994A"/>
    <w:rsid w:val="101A2912"/>
    <w:rsid w:val="102372A5"/>
    <w:rsid w:val="1036C710"/>
    <w:rsid w:val="10ECCCA1"/>
    <w:rsid w:val="10FCBDA9"/>
    <w:rsid w:val="110964F9"/>
    <w:rsid w:val="111453C5"/>
    <w:rsid w:val="113A595C"/>
    <w:rsid w:val="11A5DBDC"/>
    <w:rsid w:val="11DB8CF8"/>
    <w:rsid w:val="11E572BC"/>
    <w:rsid w:val="1231D6C1"/>
    <w:rsid w:val="124C17D6"/>
    <w:rsid w:val="126BAB56"/>
    <w:rsid w:val="142321C2"/>
    <w:rsid w:val="1433017C"/>
    <w:rsid w:val="1623B52C"/>
    <w:rsid w:val="16F03C19"/>
    <w:rsid w:val="1814BD1F"/>
    <w:rsid w:val="18A19A07"/>
    <w:rsid w:val="18C0021E"/>
    <w:rsid w:val="191C4BEF"/>
    <w:rsid w:val="192AEEB6"/>
    <w:rsid w:val="197115B3"/>
    <w:rsid w:val="19A5F738"/>
    <w:rsid w:val="19CAFD97"/>
    <w:rsid w:val="1A29F3BB"/>
    <w:rsid w:val="1A30FD5C"/>
    <w:rsid w:val="1A73D54E"/>
    <w:rsid w:val="1B0473D4"/>
    <w:rsid w:val="1B98AD66"/>
    <w:rsid w:val="1BB271E3"/>
    <w:rsid w:val="1C1C9FA5"/>
    <w:rsid w:val="1C2053A6"/>
    <w:rsid w:val="1CCE9DD7"/>
    <w:rsid w:val="1D171689"/>
    <w:rsid w:val="1D4B3D21"/>
    <w:rsid w:val="1D70B871"/>
    <w:rsid w:val="1DD26692"/>
    <w:rsid w:val="1E63B7A5"/>
    <w:rsid w:val="1EF241F9"/>
    <w:rsid w:val="1F2EE4CA"/>
    <w:rsid w:val="1FC0CD5E"/>
    <w:rsid w:val="1FD25227"/>
    <w:rsid w:val="1FEBD702"/>
    <w:rsid w:val="20442F77"/>
    <w:rsid w:val="20A6E14F"/>
    <w:rsid w:val="21A015BE"/>
    <w:rsid w:val="21ACBF50"/>
    <w:rsid w:val="21BF44FF"/>
    <w:rsid w:val="220C65E2"/>
    <w:rsid w:val="22CCE2D0"/>
    <w:rsid w:val="22F201E4"/>
    <w:rsid w:val="22F3B136"/>
    <w:rsid w:val="2326FF39"/>
    <w:rsid w:val="232BC443"/>
    <w:rsid w:val="23D0DAF0"/>
    <w:rsid w:val="2465022E"/>
    <w:rsid w:val="249B2455"/>
    <w:rsid w:val="24F2CD0C"/>
    <w:rsid w:val="2508C69F"/>
    <w:rsid w:val="251BBA0C"/>
    <w:rsid w:val="25A60D86"/>
    <w:rsid w:val="25B505C0"/>
    <w:rsid w:val="25BA76E0"/>
    <w:rsid w:val="25FC20F4"/>
    <w:rsid w:val="26825605"/>
    <w:rsid w:val="26C6C6C4"/>
    <w:rsid w:val="27619C72"/>
    <w:rsid w:val="27657599"/>
    <w:rsid w:val="27F1E1C1"/>
    <w:rsid w:val="28190E99"/>
    <w:rsid w:val="28ADA3EA"/>
    <w:rsid w:val="28F06FCA"/>
    <w:rsid w:val="292C316C"/>
    <w:rsid w:val="2991C228"/>
    <w:rsid w:val="2A2247EA"/>
    <w:rsid w:val="2A3B64AF"/>
    <w:rsid w:val="2A9937EC"/>
    <w:rsid w:val="2B846F72"/>
    <w:rsid w:val="2CD7A5DE"/>
    <w:rsid w:val="2D211EE8"/>
    <w:rsid w:val="2D26E850"/>
    <w:rsid w:val="2D2DF86A"/>
    <w:rsid w:val="2D3506F6"/>
    <w:rsid w:val="2D57CF5D"/>
    <w:rsid w:val="2D93902B"/>
    <w:rsid w:val="2DB6CEAC"/>
    <w:rsid w:val="2DC594EE"/>
    <w:rsid w:val="2DE96026"/>
    <w:rsid w:val="2E71B033"/>
    <w:rsid w:val="2F8F568A"/>
    <w:rsid w:val="2F92F56F"/>
    <w:rsid w:val="306831CD"/>
    <w:rsid w:val="308CAD98"/>
    <w:rsid w:val="30A404F5"/>
    <w:rsid w:val="30D9A955"/>
    <w:rsid w:val="3134A3E7"/>
    <w:rsid w:val="3196C339"/>
    <w:rsid w:val="3199A512"/>
    <w:rsid w:val="31E4D1D4"/>
    <w:rsid w:val="31FADE67"/>
    <w:rsid w:val="322F7539"/>
    <w:rsid w:val="324896C2"/>
    <w:rsid w:val="32E7ED5C"/>
    <w:rsid w:val="332322B7"/>
    <w:rsid w:val="337B03C3"/>
    <w:rsid w:val="338FE513"/>
    <w:rsid w:val="33BEF8C0"/>
    <w:rsid w:val="3425DA9E"/>
    <w:rsid w:val="346B0E26"/>
    <w:rsid w:val="3481DC2E"/>
    <w:rsid w:val="35403F97"/>
    <w:rsid w:val="3561CFCC"/>
    <w:rsid w:val="35DD0358"/>
    <w:rsid w:val="36971D0A"/>
    <w:rsid w:val="3697F5E3"/>
    <w:rsid w:val="3735B6A2"/>
    <w:rsid w:val="37995062"/>
    <w:rsid w:val="37DBF8FE"/>
    <w:rsid w:val="3804F5BF"/>
    <w:rsid w:val="3819D517"/>
    <w:rsid w:val="386DD141"/>
    <w:rsid w:val="389AFC9E"/>
    <w:rsid w:val="38A21066"/>
    <w:rsid w:val="38FBD314"/>
    <w:rsid w:val="3912B4B4"/>
    <w:rsid w:val="3937C211"/>
    <w:rsid w:val="39F3C84E"/>
    <w:rsid w:val="39F563F2"/>
    <w:rsid w:val="3A538946"/>
    <w:rsid w:val="3A706DEE"/>
    <w:rsid w:val="3B295E04"/>
    <w:rsid w:val="3B5C6FC8"/>
    <w:rsid w:val="3B7866E3"/>
    <w:rsid w:val="3BE4B5E1"/>
    <w:rsid w:val="3C2E706E"/>
    <w:rsid w:val="3C467700"/>
    <w:rsid w:val="3C553DB2"/>
    <w:rsid w:val="3C96A80C"/>
    <w:rsid w:val="3E41A1BF"/>
    <w:rsid w:val="3E68D957"/>
    <w:rsid w:val="3EA74F19"/>
    <w:rsid w:val="3F632AE5"/>
    <w:rsid w:val="3FC3E0AE"/>
    <w:rsid w:val="40115BA0"/>
    <w:rsid w:val="405DC894"/>
    <w:rsid w:val="409854DB"/>
    <w:rsid w:val="416E3033"/>
    <w:rsid w:val="419F951B"/>
    <w:rsid w:val="42263FB9"/>
    <w:rsid w:val="42D6E6CB"/>
    <w:rsid w:val="42F0378E"/>
    <w:rsid w:val="4334F79E"/>
    <w:rsid w:val="43BE0E9F"/>
    <w:rsid w:val="4401149A"/>
    <w:rsid w:val="442BED77"/>
    <w:rsid w:val="447FF6B0"/>
    <w:rsid w:val="44F8F1F8"/>
    <w:rsid w:val="450F0571"/>
    <w:rsid w:val="45625794"/>
    <w:rsid w:val="45C1AE42"/>
    <w:rsid w:val="45C854DF"/>
    <w:rsid w:val="4600F1D6"/>
    <w:rsid w:val="46137476"/>
    <w:rsid w:val="4627A849"/>
    <w:rsid w:val="479DF226"/>
    <w:rsid w:val="47A46ECB"/>
    <w:rsid w:val="47E7BC4F"/>
    <w:rsid w:val="487A3DEF"/>
    <w:rsid w:val="489FCFDE"/>
    <w:rsid w:val="48C37ED4"/>
    <w:rsid w:val="48FCCB1B"/>
    <w:rsid w:val="49876BBA"/>
    <w:rsid w:val="49EEADEF"/>
    <w:rsid w:val="4A87C4C3"/>
    <w:rsid w:val="4AF48F30"/>
    <w:rsid w:val="4B2E98A9"/>
    <w:rsid w:val="4B3B8058"/>
    <w:rsid w:val="4B9240A7"/>
    <w:rsid w:val="4BF8E128"/>
    <w:rsid w:val="4C8FBE4A"/>
    <w:rsid w:val="4CE4610D"/>
    <w:rsid w:val="4CF10D98"/>
    <w:rsid w:val="4D135266"/>
    <w:rsid w:val="4DA33E40"/>
    <w:rsid w:val="4DD89A19"/>
    <w:rsid w:val="4DFBC6EB"/>
    <w:rsid w:val="4E032C49"/>
    <w:rsid w:val="4E80D3D0"/>
    <w:rsid w:val="4EBB47D4"/>
    <w:rsid w:val="50D4AF71"/>
    <w:rsid w:val="50DB0633"/>
    <w:rsid w:val="50DD1E14"/>
    <w:rsid w:val="50EA15FB"/>
    <w:rsid w:val="5198F36B"/>
    <w:rsid w:val="51D91E29"/>
    <w:rsid w:val="533ED1E1"/>
    <w:rsid w:val="538CD20F"/>
    <w:rsid w:val="53B90602"/>
    <w:rsid w:val="5455E30F"/>
    <w:rsid w:val="5475E0B4"/>
    <w:rsid w:val="54B958EF"/>
    <w:rsid w:val="54E1FFEE"/>
    <w:rsid w:val="55099BAE"/>
    <w:rsid w:val="551E7AD5"/>
    <w:rsid w:val="554A968E"/>
    <w:rsid w:val="55B0B505"/>
    <w:rsid w:val="55B5C466"/>
    <w:rsid w:val="569D7F84"/>
    <w:rsid w:val="5777078A"/>
    <w:rsid w:val="57E9D122"/>
    <w:rsid w:val="58044AA1"/>
    <w:rsid w:val="5813C082"/>
    <w:rsid w:val="589C1697"/>
    <w:rsid w:val="58D9E007"/>
    <w:rsid w:val="5930E076"/>
    <w:rsid w:val="5944A7A4"/>
    <w:rsid w:val="59B1E723"/>
    <w:rsid w:val="59E5EA82"/>
    <w:rsid w:val="5A644F49"/>
    <w:rsid w:val="5AD43B2F"/>
    <w:rsid w:val="5B764D7C"/>
    <w:rsid w:val="5BBC2267"/>
    <w:rsid w:val="5C324EE6"/>
    <w:rsid w:val="5CB11A6A"/>
    <w:rsid w:val="5CF5F731"/>
    <w:rsid w:val="5CFF7107"/>
    <w:rsid w:val="5D41017E"/>
    <w:rsid w:val="5D46B1F7"/>
    <w:rsid w:val="5DB23428"/>
    <w:rsid w:val="5EB18C12"/>
    <w:rsid w:val="5EF012D6"/>
    <w:rsid w:val="60570FCE"/>
    <w:rsid w:val="60DED1A2"/>
    <w:rsid w:val="612CFC0F"/>
    <w:rsid w:val="613F47FA"/>
    <w:rsid w:val="61C92FF8"/>
    <w:rsid w:val="6222E0A5"/>
    <w:rsid w:val="622BD939"/>
    <w:rsid w:val="62D3FACD"/>
    <w:rsid w:val="6309C54E"/>
    <w:rsid w:val="636D7077"/>
    <w:rsid w:val="63A568FF"/>
    <w:rsid w:val="63BCFD6C"/>
    <w:rsid w:val="63CD782C"/>
    <w:rsid w:val="64DCD43E"/>
    <w:rsid w:val="655FA407"/>
    <w:rsid w:val="65783C8A"/>
    <w:rsid w:val="65962DA0"/>
    <w:rsid w:val="65DAADBB"/>
    <w:rsid w:val="6600ECA7"/>
    <w:rsid w:val="66914EC2"/>
    <w:rsid w:val="669AADC2"/>
    <w:rsid w:val="66A9A2FC"/>
    <w:rsid w:val="671A45D1"/>
    <w:rsid w:val="677C9FD5"/>
    <w:rsid w:val="67B23794"/>
    <w:rsid w:val="68000A91"/>
    <w:rsid w:val="680F9472"/>
    <w:rsid w:val="686798F7"/>
    <w:rsid w:val="688A159B"/>
    <w:rsid w:val="68988DEB"/>
    <w:rsid w:val="698940D1"/>
    <w:rsid w:val="699024B4"/>
    <w:rsid w:val="69C4B82C"/>
    <w:rsid w:val="6A2DC35A"/>
    <w:rsid w:val="6ADFB949"/>
    <w:rsid w:val="6B2EDEDA"/>
    <w:rsid w:val="6B480BCC"/>
    <w:rsid w:val="6B4D28D4"/>
    <w:rsid w:val="6C06B7E4"/>
    <w:rsid w:val="6CA266F9"/>
    <w:rsid w:val="6CFB75D0"/>
    <w:rsid w:val="6D0786CE"/>
    <w:rsid w:val="6D0957CE"/>
    <w:rsid w:val="6DDAF470"/>
    <w:rsid w:val="6DEBD457"/>
    <w:rsid w:val="6E07325B"/>
    <w:rsid w:val="6EDC2296"/>
    <w:rsid w:val="6F4E94D9"/>
    <w:rsid w:val="6FEF4DE3"/>
    <w:rsid w:val="6FF179CD"/>
    <w:rsid w:val="708439D8"/>
    <w:rsid w:val="708D7B92"/>
    <w:rsid w:val="70FED45C"/>
    <w:rsid w:val="714AB11F"/>
    <w:rsid w:val="7167E6F7"/>
    <w:rsid w:val="71D1BCD7"/>
    <w:rsid w:val="72EC4E49"/>
    <w:rsid w:val="7300E365"/>
    <w:rsid w:val="73153574"/>
    <w:rsid w:val="7395EF94"/>
    <w:rsid w:val="73BA6558"/>
    <w:rsid w:val="73CF1022"/>
    <w:rsid w:val="740C4AF0"/>
    <w:rsid w:val="757C4C97"/>
    <w:rsid w:val="75C357D5"/>
    <w:rsid w:val="75C4DA95"/>
    <w:rsid w:val="75F3446B"/>
    <w:rsid w:val="75FFE14D"/>
    <w:rsid w:val="76F33F99"/>
    <w:rsid w:val="77343734"/>
    <w:rsid w:val="7737D0E6"/>
    <w:rsid w:val="780A7EF1"/>
    <w:rsid w:val="785DAAEE"/>
    <w:rsid w:val="78784373"/>
    <w:rsid w:val="789B120D"/>
    <w:rsid w:val="792B0366"/>
    <w:rsid w:val="7936FB3F"/>
    <w:rsid w:val="7959D07F"/>
    <w:rsid w:val="79D3E44C"/>
    <w:rsid w:val="7A149023"/>
    <w:rsid w:val="7A22B8EC"/>
    <w:rsid w:val="7A62EB02"/>
    <w:rsid w:val="7B2F6E5C"/>
    <w:rsid w:val="7BBB9B4F"/>
    <w:rsid w:val="7BDF43C4"/>
    <w:rsid w:val="7D011758"/>
    <w:rsid w:val="7D605325"/>
    <w:rsid w:val="7D8B991E"/>
    <w:rsid w:val="7DF6F5D4"/>
    <w:rsid w:val="7E12FD61"/>
    <w:rsid w:val="7E202043"/>
    <w:rsid w:val="7E2828F6"/>
    <w:rsid w:val="7E42DDCB"/>
    <w:rsid w:val="7EA3B641"/>
    <w:rsid w:val="7EA7557A"/>
    <w:rsid w:val="7EC423DA"/>
    <w:rsid w:val="7EF245B9"/>
    <w:rsid w:val="7F122584"/>
    <w:rsid w:val="7F35DEAA"/>
    <w:rsid w:val="7F8D368F"/>
    <w:rsid w:val="7FE2F242"/>
    <w:rsid w:val="7FEAACF7"/>
    <w:rsid w:val="7FF63B8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9f"/>
    </o:shapedefaults>
    <o:shapelayout v:ext="edit">
      <o:idmap v:ext="edit" data="2"/>
    </o:shapelayout>
  </w:shapeDefaults>
  <w:decimalSymbol w:val=","/>
  <w:listSeparator w:val=";"/>
  <w14:docId w14:val="592D1154"/>
  <w15:docId w15:val="{FD42FF52-7309-4DB1-A1AD-626AA871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DD"/>
    <w:pPr>
      <w:tabs>
        <w:tab w:val="left" w:pos="357"/>
      </w:tabs>
      <w:spacing w:after="160" w:line="264" w:lineRule="auto"/>
    </w:pPr>
    <w:rPr>
      <w:rFonts w:ascii="Arial" w:hAnsi="Arial"/>
    </w:rPr>
  </w:style>
  <w:style w:type="paragraph" w:styleId="Overskrift1">
    <w:name w:val="heading 1"/>
    <w:basedOn w:val="Normal"/>
    <w:next w:val="Normal"/>
    <w:link w:val="Overskrift1Tegn"/>
    <w:uiPriority w:val="9"/>
    <w:qFormat/>
    <w:rsid w:val="008B7871"/>
    <w:pPr>
      <w:keepNext/>
      <w:keepLines/>
      <w:numPr>
        <w:numId w:val="13"/>
      </w:numPr>
      <w:tabs>
        <w:tab w:val="clear" w:pos="357"/>
      </w:tabs>
      <w:spacing w:before="120" w:after="600"/>
      <w:outlineLvl w:val="0"/>
    </w:pPr>
    <w:rPr>
      <w:rFonts w:asciiTheme="majorHAnsi" w:eastAsiaTheme="majorEastAsia" w:hAnsiTheme="majorHAnsi" w:cstheme="majorBidi"/>
      <w:b/>
      <w:color w:val="0069E8" w:themeColor="text1"/>
      <w:sz w:val="48"/>
      <w:szCs w:val="32"/>
    </w:rPr>
  </w:style>
  <w:style w:type="paragraph" w:styleId="Overskrift2">
    <w:name w:val="heading 2"/>
    <w:basedOn w:val="Normal"/>
    <w:next w:val="Normal"/>
    <w:link w:val="Overskrift2Tegn"/>
    <w:autoRedefine/>
    <w:uiPriority w:val="9"/>
    <w:unhideWhenUsed/>
    <w:qFormat/>
    <w:rsid w:val="00FA3715"/>
    <w:pPr>
      <w:keepNext/>
      <w:keepLines/>
      <w:numPr>
        <w:ilvl w:val="1"/>
        <w:numId w:val="13"/>
      </w:numPr>
      <w:tabs>
        <w:tab w:val="clear" w:pos="357"/>
      </w:tabs>
      <w:spacing w:after="0"/>
      <w:outlineLvl w:val="1"/>
    </w:pPr>
    <w:rPr>
      <w:rFonts w:asciiTheme="majorHAnsi" w:eastAsiaTheme="majorEastAsia" w:hAnsiTheme="majorHAnsi" w:cstheme="majorBidi"/>
      <w:b/>
      <w:sz w:val="34"/>
      <w:szCs w:val="26"/>
    </w:rPr>
  </w:style>
  <w:style w:type="paragraph" w:styleId="Overskrift3">
    <w:name w:val="heading 3"/>
    <w:basedOn w:val="Overskrift2"/>
    <w:next w:val="Normal"/>
    <w:link w:val="Overskrift3Tegn"/>
    <w:uiPriority w:val="9"/>
    <w:unhideWhenUsed/>
    <w:qFormat/>
    <w:rsid w:val="00AB5B78"/>
    <w:pPr>
      <w:numPr>
        <w:ilvl w:val="2"/>
      </w:numPr>
      <w:outlineLvl w:val="2"/>
    </w:pPr>
    <w:rPr>
      <w:sz w:val="28"/>
      <w:szCs w:val="24"/>
    </w:rPr>
  </w:style>
  <w:style w:type="paragraph" w:styleId="Overskrift4">
    <w:name w:val="heading 4"/>
    <w:basedOn w:val="Normal"/>
    <w:next w:val="Normal"/>
    <w:link w:val="Overskrift4Tegn"/>
    <w:uiPriority w:val="9"/>
    <w:unhideWhenUsed/>
    <w:qFormat/>
    <w:rsid w:val="00D264AC"/>
    <w:pPr>
      <w:keepNext/>
      <w:keepLines/>
      <w:numPr>
        <w:ilvl w:val="3"/>
        <w:numId w:val="13"/>
      </w:numPr>
      <w:spacing w:before="240" w:after="40"/>
      <w:outlineLvl w:val="3"/>
    </w:pPr>
    <w:rPr>
      <w:rFonts w:asciiTheme="majorHAnsi" w:eastAsiaTheme="majorEastAsia" w:hAnsiTheme="majorHAnsi" w:cstheme="majorBidi"/>
      <w:b/>
      <w:iCs/>
      <w:sz w:val="24"/>
    </w:rPr>
  </w:style>
  <w:style w:type="paragraph" w:styleId="Overskrift5">
    <w:name w:val="heading 5"/>
    <w:basedOn w:val="Normal"/>
    <w:next w:val="Normal"/>
    <w:link w:val="Overskrift5Tegn"/>
    <w:uiPriority w:val="9"/>
    <w:unhideWhenUsed/>
    <w:rsid w:val="0044529E"/>
    <w:pPr>
      <w:keepNext/>
      <w:keepLines/>
      <w:numPr>
        <w:ilvl w:val="4"/>
        <w:numId w:val="13"/>
      </w:numPr>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qFormat/>
    <w:rsid w:val="00E3133B"/>
    <w:pPr>
      <w:keepNext/>
      <w:keepLines/>
      <w:numPr>
        <w:ilvl w:val="5"/>
        <w:numId w:val="13"/>
      </w:numPr>
      <w:outlineLvl w:val="5"/>
    </w:pPr>
    <w:rPr>
      <w:rFonts w:asciiTheme="majorHAnsi" w:eastAsiaTheme="majorEastAsia" w:hAnsiTheme="majorHAnsi" w:cstheme="majorBidi"/>
      <w:color w:val="013C49" w:themeColor="accent1" w:themeShade="7F"/>
    </w:rPr>
  </w:style>
  <w:style w:type="paragraph" w:styleId="Overskrift7">
    <w:name w:val="heading 7"/>
    <w:basedOn w:val="Normal"/>
    <w:next w:val="Normal"/>
    <w:link w:val="Overskrift7Tegn"/>
    <w:uiPriority w:val="9"/>
    <w:semiHidden/>
    <w:unhideWhenUsed/>
    <w:qFormat/>
    <w:rsid w:val="00E3133B"/>
    <w:pPr>
      <w:keepNext/>
      <w:keepLines/>
      <w:numPr>
        <w:ilvl w:val="6"/>
        <w:numId w:val="13"/>
      </w:numPr>
      <w:outlineLvl w:val="6"/>
    </w:pPr>
    <w:rPr>
      <w:rFonts w:asciiTheme="majorHAnsi" w:eastAsiaTheme="majorEastAsia" w:hAnsiTheme="majorHAnsi" w:cstheme="majorBidi"/>
      <w:i/>
      <w:iCs/>
      <w:color w:val="013C49" w:themeColor="accent1" w:themeShade="7F"/>
    </w:rPr>
  </w:style>
  <w:style w:type="paragraph" w:styleId="Overskrift8">
    <w:name w:val="heading 8"/>
    <w:basedOn w:val="Normal"/>
    <w:next w:val="Normal"/>
    <w:link w:val="Overskrift8Tegn"/>
    <w:uiPriority w:val="9"/>
    <w:semiHidden/>
    <w:unhideWhenUsed/>
    <w:qFormat/>
    <w:rsid w:val="00E3133B"/>
    <w:pPr>
      <w:keepNext/>
      <w:keepLines/>
      <w:numPr>
        <w:ilvl w:val="7"/>
        <w:numId w:val="13"/>
      </w:numPr>
      <w:outlineLvl w:val="7"/>
    </w:pPr>
    <w:rPr>
      <w:rFonts w:asciiTheme="majorHAnsi" w:eastAsiaTheme="majorEastAsia" w:hAnsiTheme="majorHAnsi" w:cstheme="majorBidi"/>
      <w:color w:val="137DFF" w:themeColor="text1" w:themeTint="D8"/>
      <w:sz w:val="21"/>
      <w:szCs w:val="21"/>
    </w:rPr>
  </w:style>
  <w:style w:type="paragraph" w:styleId="Overskrift9">
    <w:name w:val="heading 9"/>
    <w:basedOn w:val="Normal"/>
    <w:next w:val="Normal"/>
    <w:link w:val="Overskrift9Tegn"/>
    <w:uiPriority w:val="9"/>
    <w:semiHidden/>
    <w:unhideWhenUsed/>
    <w:qFormat/>
    <w:rsid w:val="00E3133B"/>
    <w:pPr>
      <w:keepNext/>
      <w:keepLines/>
      <w:numPr>
        <w:ilvl w:val="8"/>
        <w:numId w:val="13"/>
      </w:numPr>
      <w:outlineLvl w:val="8"/>
    </w:pPr>
    <w:rPr>
      <w:rFonts w:asciiTheme="majorHAnsi" w:eastAsiaTheme="majorEastAsia" w:hAnsiTheme="majorHAnsi" w:cstheme="majorBidi"/>
      <w:i/>
      <w:iCs/>
      <w:color w:val="137DFF"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E3133B"/>
    <w:pPr>
      <w:numPr>
        <w:numId w:val="12"/>
      </w:numPr>
    </w:pPr>
  </w:style>
  <w:style w:type="numbering" w:styleId="1ai">
    <w:name w:val="Outline List 1"/>
    <w:basedOn w:val="Ingenliste"/>
    <w:uiPriority w:val="99"/>
    <w:semiHidden/>
    <w:unhideWhenUsed/>
    <w:rsid w:val="00E3133B"/>
    <w:pPr>
      <w:numPr>
        <w:numId w:val="1"/>
      </w:numPr>
    </w:pPr>
  </w:style>
  <w:style w:type="character" w:customStyle="1" w:styleId="Overskrift1Tegn">
    <w:name w:val="Overskrift 1 Tegn"/>
    <w:basedOn w:val="Standardskriftforavsnitt"/>
    <w:link w:val="Overskrift1"/>
    <w:uiPriority w:val="9"/>
    <w:rsid w:val="008B7871"/>
    <w:rPr>
      <w:rFonts w:asciiTheme="majorHAnsi" w:eastAsiaTheme="majorEastAsia" w:hAnsiTheme="majorHAnsi" w:cstheme="majorBidi"/>
      <w:b/>
      <w:color w:val="0069E8" w:themeColor="text1"/>
      <w:sz w:val="48"/>
      <w:szCs w:val="32"/>
    </w:rPr>
  </w:style>
  <w:style w:type="character" w:customStyle="1" w:styleId="Overskrift2Tegn">
    <w:name w:val="Overskrift 2 Tegn"/>
    <w:basedOn w:val="Standardskriftforavsnitt"/>
    <w:link w:val="Overskrift2"/>
    <w:uiPriority w:val="9"/>
    <w:rsid w:val="00FA3715"/>
    <w:rPr>
      <w:rFonts w:asciiTheme="majorHAnsi" w:eastAsiaTheme="majorEastAsia" w:hAnsiTheme="majorHAnsi" w:cstheme="majorBidi"/>
      <w:b/>
      <w:sz w:val="34"/>
      <w:szCs w:val="26"/>
    </w:rPr>
  </w:style>
  <w:style w:type="character" w:customStyle="1" w:styleId="Overskrift3Tegn">
    <w:name w:val="Overskrift 3 Tegn"/>
    <w:basedOn w:val="Standardskriftforavsnitt"/>
    <w:link w:val="Overskrift3"/>
    <w:uiPriority w:val="9"/>
    <w:rsid w:val="00AB5B78"/>
    <w:rPr>
      <w:rFonts w:asciiTheme="majorHAnsi" w:eastAsiaTheme="majorEastAsia" w:hAnsiTheme="majorHAnsi" w:cstheme="majorBidi"/>
      <w:b/>
      <w:sz w:val="28"/>
      <w:szCs w:val="24"/>
    </w:rPr>
  </w:style>
  <w:style w:type="character" w:customStyle="1" w:styleId="Overskrift4Tegn">
    <w:name w:val="Overskrift 4 Tegn"/>
    <w:basedOn w:val="Standardskriftforavsnitt"/>
    <w:link w:val="Overskrift4"/>
    <w:uiPriority w:val="9"/>
    <w:rsid w:val="00D264AC"/>
    <w:rPr>
      <w:rFonts w:asciiTheme="majorHAnsi" w:eastAsiaTheme="majorEastAsia" w:hAnsiTheme="majorHAnsi" w:cstheme="majorBidi"/>
      <w:b/>
      <w:iCs/>
      <w:sz w:val="24"/>
    </w:rPr>
  </w:style>
  <w:style w:type="character" w:customStyle="1" w:styleId="Overskrift5Tegn">
    <w:name w:val="Overskrift 5 Tegn"/>
    <w:basedOn w:val="Standardskriftforavsnitt"/>
    <w:link w:val="Overskrift5"/>
    <w:uiPriority w:val="9"/>
    <w:rsid w:val="0044529E"/>
    <w:rPr>
      <w:rFonts w:asciiTheme="majorHAnsi" w:eastAsiaTheme="majorEastAsia" w:hAnsiTheme="majorHAnsi" w:cstheme="majorBidi"/>
    </w:rPr>
  </w:style>
  <w:style w:type="character" w:customStyle="1" w:styleId="Overskrift6Tegn">
    <w:name w:val="Overskrift 6 Tegn"/>
    <w:basedOn w:val="Standardskriftforavsnitt"/>
    <w:link w:val="Overskrift6"/>
    <w:uiPriority w:val="9"/>
    <w:semiHidden/>
    <w:rsid w:val="00E3133B"/>
    <w:rPr>
      <w:rFonts w:asciiTheme="majorHAnsi" w:eastAsiaTheme="majorEastAsia" w:hAnsiTheme="majorHAnsi" w:cstheme="majorBidi"/>
      <w:color w:val="013C49" w:themeColor="accent1" w:themeShade="7F"/>
    </w:rPr>
  </w:style>
  <w:style w:type="character" w:customStyle="1" w:styleId="Overskrift7Tegn">
    <w:name w:val="Overskrift 7 Tegn"/>
    <w:basedOn w:val="Standardskriftforavsnitt"/>
    <w:link w:val="Overskrift7"/>
    <w:uiPriority w:val="9"/>
    <w:semiHidden/>
    <w:rsid w:val="00E3133B"/>
    <w:rPr>
      <w:rFonts w:asciiTheme="majorHAnsi" w:eastAsiaTheme="majorEastAsia" w:hAnsiTheme="majorHAnsi" w:cstheme="majorBidi"/>
      <w:i/>
      <w:iCs/>
      <w:color w:val="013C49" w:themeColor="accent1" w:themeShade="7F"/>
    </w:rPr>
  </w:style>
  <w:style w:type="character" w:customStyle="1" w:styleId="Overskrift8Tegn">
    <w:name w:val="Overskrift 8 Tegn"/>
    <w:basedOn w:val="Standardskriftforavsnitt"/>
    <w:link w:val="Overskrift8"/>
    <w:uiPriority w:val="9"/>
    <w:semiHidden/>
    <w:rsid w:val="00E3133B"/>
    <w:rPr>
      <w:rFonts w:asciiTheme="majorHAnsi" w:eastAsiaTheme="majorEastAsia" w:hAnsiTheme="majorHAnsi" w:cstheme="majorBidi"/>
      <w:color w:val="137DFF" w:themeColor="text1" w:themeTint="D8"/>
      <w:sz w:val="21"/>
      <w:szCs w:val="21"/>
    </w:rPr>
  </w:style>
  <w:style w:type="character" w:customStyle="1" w:styleId="Overskrift9Tegn">
    <w:name w:val="Overskrift 9 Tegn"/>
    <w:basedOn w:val="Standardskriftforavsnitt"/>
    <w:link w:val="Overskrift9"/>
    <w:uiPriority w:val="9"/>
    <w:semiHidden/>
    <w:rsid w:val="00E3133B"/>
    <w:rPr>
      <w:rFonts w:asciiTheme="majorHAnsi" w:eastAsiaTheme="majorEastAsia" w:hAnsiTheme="majorHAnsi" w:cstheme="majorBidi"/>
      <w:i/>
      <w:iCs/>
      <w:color w:val="137DFF" w:themeColor="text1" w:themeTint="D8"/>
      <w:sz w:val="21"/>
      <w:szCs w:val="21"/>
    </w:rPr>
  </w:style>
  <w:style w:type="paragraph" w:styleId="Avsenderadresse">
    <w:name w:val="envelope return"/>
    <w:basedOn w:val="Normal"/>
    <w:uiPriority w:val="99"/>
    <w:semiHidden/>
    <w:unhideWhenUsed/>
    <w:rsid w:val="00E3133B"/>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E3133B"/>
  </w:style>
  <w:style w:type="paragraph" w:styleId="Bildetekst">
    <w:name w:val="caption"/>
    <w:basedOn w:val="Normal"/>
    <w:next w:val="Normal"/>
    <w:autoRedefine/>
    <w:uiPriority w:val="19"/>
    <w:qFormat/>
    <w:rsid w:val="00CD3270"/>
    <w:pPr>
      <w:keepNext/>
      <w:spacing w:before="200" w:after="200" w:line="240" w:lineRule="auto"/>
    </w:pPr>
    <w:rPr>
      <w:i/>
      <w:iCs/>
      <w:color w:val="262626" w:themeColor="accent4" w:themeTint="D9"/>
      <w:sz w:val="20"/>
      <w:szCs w:val="18"/>
    </w:rPr>
  </w:style>
  <w:style w:type="paragraph" w:styleId="Blokktekst">
    <w:name w:val="Block Text"/>
    <w:basedOn w:val="Normal"/>
    <w:uiPriority w:val="99"/>
    <w:semiHidden/>
    <w:unhideWhenUsed/>
    <w:rsid w:val="00E3133B"/>
    <w:pPr>
      <w:pBdr>
        <w:top w:val="single" w:sz="2" w:space="10" w:color="037A94" w:themeColor="accent1" w:frame="1"/>
        <w:left w:val="single" w:sz="2" w:space="10" w:color="037A94" w:themeColor="accent1" w:frame="1"/>
        <w:bottom w:val="single" w:sz="2" w:space="10" w:color="037A94" w:themeColor="accent1" w:frame="1"/>
        <w:right w:val="single" w:sz="2" w:space="10" w:color="037A94" w:themeColor="accent1" w:frame="1"/>
      </w:pBdr>
      <w:ind w:left="1152" w:right="1152"/>
    </w:pPr>
    <w:rPr>
      <w:rFonts w:eastAsiaTheme="minorEastAsia"/>
      <w:i/>
      <w:iCs/>
      <w:color w:val="037A94" w:themeColor="accent1"/>
    </w:rPr>
  </w:style>
  <w:style w:type="paragraph" w:styleId="Bobletekst">
    <w:name w:val="Balloon Text"/>
    <w:basedOn w:val="Normal"/>
    <w:link w:val="BobletekstTegn"/>
    <w:uiPriority w:val="99"/>
    <w:semiHidden/>
    <w:unhideWhenUsed/>
    <w:rsid w:val="00E3133B"/>
    <w:rPr>
      <w:rFonts w:ascii="Segoe UI" w:hAnsi="Segoe UI" w:cs="Segoe UI"/>
      <w:szCs w:val="18"/>
    </w:rPr>
  </w:style>
  <w:style w:type="character" w:customStyle="1" w:styleId="BobletekstTegn">
    <w:name w:val="Bobletekst Tegn"/>
    <w:basedOn w:val="Standardskriftforavsnitt"/>
    <w:link w:val="Bobletekst"/>
    <w:uiPriority w:val="99"/>
    <w:semiHidden/>
    <w:rsid w:val="00E3133B"/>
    <w:rPr>
      <w:rFonts w:ascii="Segoe UI" w:hAnsi="Segoe UI" w:cs="Segoe UI"/>
      <w:sz w:val="18"/>
      <w:szCs w:val="18"/>
    </w:rPr>
  </w:style>
  <w:style w:type="character" w:styleId="Boktittel">
    <w:name w:val="Book Title"/>
    <w:basedOn w:val="Standardskriftforavsnitt"/>
    <w:uiPriority w:val="33"/>
    <w:qFormat/>
    <w:rsid w:val="00E3133B"/>
    <w:rPr>
      <w:b/>
      <w:bCs/>
      <w:i/>
      <w:iCs/>
      <w:spacing w:val="5"/>
    </w:rPr>
  </w:style>
  <w:style w:type="paragraph" w:styleId="Brdtekst">
    <w:name w:val="Body Text"/>
    <w:link w:val="BrdtekstTegn"/>
    <w:rsid w:val="00154BD8"/>
    <w:pPr>
      <w:spacing w:before="40" w:after="160"/>
    </w:pPr>
    <w:rPr>
      <w:rFonts w:ascii="Arial" w:hAnsi="Arial"/>
    </w:rPr>
  </w:style>
  <w:style w:type="character" w:customStyle="1" w:styleId="BrdtekstTegn">
    <w:name w:val="Brødtekst Tegn"/>
    <w:basedOn w:val="Standardskriftforavsnitt"/>
    <w:link w:val="Brdtekst"/>
    <w:rsid w:val="00154BD8"/>
    <w:rPr>
      <w:rFonts w:ascii="Arial" w:hAnsi="Arial"/>
    </w:rPr>
  </w:style>
  <w:style w:type="paragraph" w:styleId="Brdtekst-frsteinnrykk">
    <w:name w:val="Body Text First Indent"/>
    <w:basedOn w:val="Brdtekst"/>
    <w:link w:val="Brdtekst-frsteinnrykkTegn"/>
    <w:uiPriority w:val="99"/>
    <w:semiHidden/>
    <w:unhideWhenUsed/>
    <w:rsid w:val="00E3133B"/>
    <w:pPr>
      <w:ind w:firstLine="360"/>
    </w:pPr>
  </w:style>
  <w:style w:type="character" w:customStyle="1" w:styleId="Brdtekst-frsteinnrykkTegn">
    <w:name w:val="Brødtekst - første innrykk Tegn"/>
    <w:basedOn w:val="BrdtekstTegn"/>
    <w:link w:val="Brdtekst-frsteinnrykk"/>
    <w:uiPriority w:val="99"/>
    <w:semiHidden/>
    <w:rsid w:val="00E3133B"/>
    <w:rPr>
      <w:rFonts w:ascii="Arial" w:hAnsi="Arial"/>
    </w:rPr>
  </w:style>
  <w:style w:type="paragraph" w:styleId="Brdtekstinnrykk">
    <w:name w:val="Body Text Indent"/>
    <w:basedOn w:val="Normal"/>
    <w:link w:val="BrdtekstinnrykkTegn"/>
    <w:uiPriority w:val="99"/>
    <w:semiHidden/>
    <w:unhideWhenUsed/>
    <w:rsid w:val="00E3133B"/>
    <w:pPr>
      <w:spacing w:after="120"/>
      <w:ind w:left="283"/>
    </w:pPr>
  </w:style>
  <w:style w:type="character" w:customStyle="1" w:styleId="BrdtekstinnrykkTegn">
    <w:name w:val="Brødtekstinnrykk Tegn"/>
    <w:basedOn w:val="Standardskriftforavsnitt"/>
    <w:link w:val="Brdtekstinnrykk"/>
    <w:uiPriority w:val="99"/>
    <w:semiHidden/>
    <w:rsid w:val="00E3133B"/>
  </w:style>
  <w:style w:type="paragraph" w:styleId="Brdtekst-frsteinnrykk2">
    <w:name w:val="Body Text First Indent 2"/>
    <w:basedOn w:val="Brdtekstinnrykk"/>
    <w:link w:val="Brdtekst-frsteinnrykk2Tegn"/>
    <w:uiPriority w:val="99"/>
    <w:semiHidden/>
    <w:unhideWhenUsed/>
    <w:rsid w:val="00E3133B"/>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E3133B"/>
  </w:style>
  <w:style w:type="paragraph" w:styleId="Brdtekst2">
    <w:name w:val="Body Text 2"/>
    <w:basedOn w:val="Normal"/>
    <w:link w:val="Brdtekst2Tegn"/>
    <w:uiPriority w:val="99"/>
    <w:semiHidden/>
    <w:unhideWhenUsed/>
    <w:rsid w:val="00E3133B"/>
    <w:pPr>
      <w:spacing w:after="120" w:line="480" w:lineRule="auto"/>
    </w:pPr>
  </w:style>
  <w:style w:type="character" w:customStyle="1" w:styleId="Brdtekst2Tegn">
    <w:name w:val="Brødtekst 2 Tegn"/>
    <w:basedOn w:val="Standardskriftforavsnitt"/>
    <w:link w:val="Brdtekst2"/>
    <w:uiPriority w:val="99"/>
    <w:semiHidden/>
    <w:rsid w:val="00E3133B"/>
  </w:style>
  <w:style w:type="paragraph" w:styleId="Brdtekst3">
    <w:name w:val="Body Text 3"/>
    <w:basedOn w:val="Normal"/>
    <w:link w:val="Brdtekst3Tegn"/>
    <w:uiPriority w:val="99"/>
    <w:semiHidden/>
    <w:unhideWhenUsed/>
    <w:rsid w:val="00E3133B"/>
    <w:pPr>
      <w:spacing w:after="120"/>
    </w:pPr>
    <w:rPr>
      <w:sz w:val="16"/>
      <w:szCs w:val="16"/>
    </w:rPr>
  </w:style>
  <w:style w:type="character" w:customStyle="1" w:styleId="Brdtekst3Tegn">
    <w:name w:val="Brødtekst 3 Tegn"/>
    <w:basedOn w:val="Standardskriftforavsnitt"/>
    <w:link w:val="Brdtekst3"/>
    <w:uiPriority w:val="99"/>
    <w:semiHidden/>
    <w:rsid w:val="00E3133B"/>
    <w:rPr>
      <w:sz w:val="16"/>
      <w:szCs w:val="16"/>
    </w:rPr>
  </w:style>
  <w:style w:type="paragraph" w:styleId="Brdtekstinnrykk2">
    <w:name w:val="Body Text Indent 2"/>
    <w:basedOn w:val="Normal"/>
    <w:link w:val="Brdtekstinnrykk2Tegn"/>
    <w:uiPriority w:val="99"/>
    <w:semiHidden/>
    <w:unhideWhenUsed/>
    <w:rsid w:val="00E3133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E3133B"/>
  </w:style>
  <w:style w:type="paragraph" w:styleId="Brdtekstinnrykk3">
    <w:name w:val="Body Text Indent 3"/>
    <w:basedOn w:val="Normal"/>
    <w:link w:val="Brdtekstinnrykk3Tegn"/>
    <w:uiPriority w:val="99"/>
    <w:semiHidden/>
    <w:unhideWhenUsed/>
    <w:rsid w:val="00E3133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E3133B"/>
    <w:rPr>
      <w:sz w:val="16"/>
      <w:szCs w:val="16"/>
    </w:rPr>
  </w:style>
  <w:style w:type="paragraph" w:styleId="Bunntekst">
    <w:name w:val="footer"/>
    <w:basedOn w:val="Normal"/>
    <w:link w:val="BunntekstTegn"/>
    <w:uiPriority w:val="99"/>
    <w:unhideWhenUsed/>
    <w:rsid w:val="00E54078"/>
    <w:pPr>
      <w:tabs>
        <w:tab w:val="center" w:pos="4513"/>
        <w:tab w:val="right" w:pos="9026"/>
      </w:tabs>
    </w:pPr>
    <w:rPr>
      <w:color w:val="787878"/>
    </w:rPr>
  </w:style>
  <w:style w:type="character" w:customStyle="1" w:styleId="BunntekstTegn">
    <w:name w:val="Bunntekst Tegn"/>
    <w:basedOn w:val="Standardskriftforavsnitt"/>
    <w:link w:val="Bunntekst"/>
    <w:uiPriority w:val="99"/>
    <w:rsid w:val="0065401D"/>
    <w:rPr>
      <w:rFonts w:ascii="Arial" w:hAnsi="Arial"/>
      <w:color w:val="787878"/>
    </w:rPr>
  </w:style>
  <w:style w:type="paragraph" w:styleId="Dato">
    <w:name w:val="Date"/>
    <w:basedOn w:val="Normal"/>
    <w:next w:val="Normal"/>
    <w:link w:val="DatoTegn"/>
    <w:uiPriority w:val="99"/>
    <w:semiHidden/>
    <w:unhideWhenUsed/>
    <w:rsid w:val="00E3133B"/>
  </w:style>
  <w:style w:type="character" w:customStyle="1" w:styleId="DatoTegn">
    <w:name w:val="Dato Tegn"/>
    <w:basedOn w:val="Standardskriftforavsnitt"/>
    <w:link w:val="Dato"/>
    <w:uiPriority w:val="99"/>
    <w:semiHidden/>
    <w:rsid w:val="00E3133B"/>
  </w:style>
  <w:style w:type="paragraph" w:styleId="Dokumentkart">
    <w:name w:val="Document Map"/>
    <w:basedOn w:val="Normal"/>
    <w:link w:val="DokumentkartTegn"/>
    <w:uiPriority w:val="99"/>
    <w:semiHidden/>
    <w:unhideWhenUsed/>
    <w:rsid w:val="00E3133B"/>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E3133B"/>
    <w:rPr>
      <w:rFonts w:ascii="Segoe UI" w:hAnsi="Segoe UI" w:cs="Segoe UI"/>
      <w:sz w:val="16"/>
      <w:szCs w:val="16"/>
    </w:rPr>
  </w:style>
  <w:style w:type="table" w:styleId="Enkelttabell1">
    <w:name w:val="Table Simple 1"/>
    <w:basedOn w:val="Vanligtabell"/>
    <w:uiPriority w:val="99"/>
    <w:semiHidden/>
    <w:unhideWhenUsed/>
    <w:rsid w:val="00E31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E31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E3133B"/>
  </w:style>
  <w:style w:type="character" w:customStyle="1" w:styleId="E-postsignaturTegn">
    <w:name w:val="E-postsignatur Tegn"/>
    <w:basedOn w:val="Standardskriftforavsnitt"/>
    <w:link w:val="E-postsignatur"/>
    <w:uiPriority w:val="99"/>
    <w:semiHidden/>
    <w:rsid w:val="00E3133B"/>
  </w:style>
  <w:style w:type="table" w:styleId="Fargerikliste">
    <w:name w:val="Colorful List"/>
    <w:basedOn w:val="Vanligtabell"/>
    <w:uiPriority w:val="72"/>
    <w:semiHidden/>
    <w:unhideWhenUsed/>
    <w:rsid w:val="00E3133B"/>
    <w:rPr>
      <w:color w:val="0069E8" w:themeColor="text1"/>
    </w:rPr>
    <w:tblPr>
      <w:tblStyleRowBandSize w:val="1"/>
      <w:tblStyleColBandSize w:val="1"/>
    </w:tblPr>
    <w:tcPr>
      <w:shd w:val="clear" w:color="auto" w:fill="E3EFFF"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text1" w:themeFillTint="3F"/>
      </w:tcPr>
    </w:tblStylePr>
    <w:tblStylePr w:type="band1Horz">
      <w:tblPr/>
      <w:tcPr>
        <w:shd w:val="clear" w:color="auto" w:fill="C7E0FF" w:themeFill="text1" w:themeFillTint="33"/>
      </w:tcPr>
    </w:tblStylePr>
  </w:style>
  <w:style w:type="table" w:styleId="Fargeriklisteuthevingsfarge1">
    <w:name w:val="Colorful List Accent 1"/>
    <w:basedOn w:val="Vanligtabell"/>
    <w:uiPriority w:val="72"/>
    <w:semiHidden/>
    <w:unhideWhenUsed/>
    <w:rsid w:val="00E3133B"/>
    <w:rPr>
      <w:color w:val="0069E8"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styleId="Fargeriklisteuthevingsfarge2">
    <w:name w:val="Colorful List Accent 2"/>
    <w:basedOn w:val="Vanligtabell"/>
    <w:uiPriority w:val="72"/>
    <w:semiHidden/>
    <w:unhideWhenUsed/>
    <w:rsid w:val="00E3133B"/>
    <w:rPr>
      <w:color w:val="0069E8"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styleId="Fargeriklisteuthevingsfarge3">
    <w:name w:val="Colorful List Accent 3"/>
    <w:basedOn w:val="Vanligtabell"/>
    <w:uiPriority w:val="72"/>
    <w:semiHidden/>
    <w:unhideWhenUsed/>
    <w:rsid w:val="00E3133B"/>
    <w:rPr>
      <w:color w:val="0069E8"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styleId="Fargeriklisteuthevingsfarge4">
    <w:name w:val="Colorful List Accent 4"/>
    <w:basedOn w:val="Vanligtabell"/>
    <w:uiPriority w:val="72"/>
    <w:semiHidden/>
    <w:unhideWhenUsed/>
    <w:rsid w:val="00E3133B"/>
    <w:rPr>
      <w:color w:val="0069E8"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Fargeriklisteuthevingsfarge5">
    <w:name w:val="Colorful List Accent 5"/>
    <w:basedOn w:val="Vanligtabell"/>
    <w:uiPriority w:val="72"/>
    <w:semiHidden/>
    <w:unhideWhenUsed/>
    <w:rsid w:val="00E3133B"/>
    <w:rPr>
      <w:color w:val="0069E8"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E3133B"/>
    <w:rPr>
      <w:color w:val="0069E8"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styleId="Fargerikskyggelegging">
    <w:name w:val="Colorful Shading"/>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text1"/>
        <w:bottom w:val="single" w:sz="4" w:space="0" w:color="0069E8" w:themeColor="text1"/>
        <w:right w:val="single" w:sz="4" w:space="0" w:color="0069E8" w:themeColor="text1"/>
        <w:insideH w:val="single" w:sz="4" w:space="0" w:color="F0F0F0" w:themeColor="background1"/>
        <w:insideV w:val="single" w:sz="4" w:space="0" w:color="F0F0F0" w:themeColor="background1"/>
      </w:tblBorders>
    </w:tblPr>
    <w:tcPr>
      <w:shd w:val="clear" w:color="auto" w:fill="E3EFFF"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text1" w:themeFillShade="99"/>
      </w:tcPr>
    </w:tblStylePr>
    <w:tblStylePr w:type="firstCol">
      <w:rPr>
        <w:color w:val="F0F0F0" w:themeColor="background1"/>
      </w:rPr>
      <w:tblPr/>
      <w:tcPr>
        <w:tcBorders>
          <w:top w:val="nil"/>
          <w:left w:val="nil"/>
          <w:bottom w:val="nil"/>
          <w:right w:val="nil"/>
          <w:insideH w:val="single" w:sz="4" w:space="0" w:color="003E8B" w:themeColor="text1" w:themeShade="99"/>
          <w:insideV w:val="nil"/>
        </w:tcBorders>
        <w:shd w:val="clear" w:color="auto" w:fill="003E8B"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4EAD" w:themeFill="text1" w:themeFillShade="BF"/>
      </w:tcPr>
    </w:tblStylePr>
    <w:tblStylePr w:type="band1Vert">
      <w:tblPr/>
      <w:tcPr>
        <w:shd w:val="clear" w:color="auto" w:fill="8FC1FF" w:themeFill="text1" w:themeFillTint="66"/>
      </w:tcPr>
    </w:tblStylePr>
    <w:tblStylePr w:type="band1Horz">
      <w:tblPr/>
      <w:tcPr>
        <w:shd w:val="clear" w:color="auto" w:fill="74B2FF" w:themeFill="text1" w:themeFillTint="7F"/>
      </w:tcPr>
    </w:tblStylePr>
    <w:tblStylePr w:type="neCell">
      <w:rPr>
        <w:color w:val="0069E8" w:themeColor="text1"/>
      </w:rPr>
    </w:tblStylePr>
    <w:tblStylePr w:type="nwCell">
      <w:rPr>
        <w:color w:val="0069E8" w:themeColor="text1"/>
      </w:rPr>
    </w:tblStylePr>
  </w:style>
  <w:style w:type="table" w:styleId="Fargerikskyggelegginguthevingsfarge1">
    <w:name w:val="Colorful Shading Accent 1"/>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069E8" w:themeColor="text1"/>
      </w:rPr>
    </w:tblStylePr>
    <w:tblStylePr w:type="nwCell">
      <w:rPr>
        <w:color w:val="0069E8" w:themeColor="text1"/>
      </w:rPr>
    </w:tblStylePr>
  </w:style>
  <w:style w:type="table" w:styleId="Fargerikskyggelegginguthevingsfarge2">
    <w:name w:val="Colorful Shading Accent 2"/>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069E8" w:themeColor="text1"/>
      </w:rPr>
    </w:tblStylePr>
    <w:tblStylePr w:type="nwCell">
      <w:rPr>
        <w:color w:val="0069E8" w:themeColor="text1"/>
      </w:rPr>
    </w:tblStylePr>
  </w:style>
  <w:style w:type="table" w:styleId="Fargerikskyggelegginguthevingsfarge3">
    <w:name w:val="Colorful Shading Accent 3"/>
    <w:basedOn w:val="Vanligtabell"/>
    <w:uiPriority w:val="71"/>
    <w:semiHidden/>
    <w:unhideWhenUsed/>
    <w:rsid w:val="00E3133B"/>
    <w:rPr>
      <w:color w:val="0069E8"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styleId="Fargerikskyggelegginguthevingsfarge4">
    <w:name w:val="Colorful Shading Accent 4"/>
    <w:basedOn w:val="Vanligtabell"/>
    <w:uiPriority w:val="71"/>
    <w:semiHidden/>
    <w:unhideWhenUsed/>
    <w:rsid w:val="00E3133B"/>
    <w:rPr>
      <w:color w:val="0069E8"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69E8" w:themeColor="text1"/>
      </w:rPr>
    </w:tblStylePr>
    <w:tblStylePr w:type="nwCell">
      <w:rPr>
        <w:color w:val="0069E8" w:themeColor="text1"/>
      </w:rPr>
    </w:tblStylePr>
  </w:style>
  <w:style w:type="table" w:styleId="Fargerikskyggelegginguthevingsfarge5">
    <w:name w:val="Colorful Shading Accent 5"/>
    <w:basedOn w:val="Vanligtabell"/>
    <w:uiPriority w:val="71"/>
    <w:semiHidden/>
    <w:unhideWhenUsed/>
    <w:rsid w:val="00E3133B"/>
    <w:rPr>
      <w:color w:val="0069E8"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69E8" w:themeColor="text1"/>
      </w:rPr>
    </w:tblStylePr>
    <w:tblStylePr w:type="nwCell">
      <w:rPr>
        <w:color w:val="0069E8" w:themeColor="text1"/>
      </w:rPr>
    </w:tblStylePr>
  </w:style>
  <w:style w:type="table" w:styleId="Fargerikskyggelegginguthevingsfarge6">
    <w:name w:val="Colorful Shading Accent 6"/>
    <w:basedOn w:val="Vanligtabell"/>
    <w:uiPriority w:val="71"/>
    <w:semiHidden/>
    <w:unhideWhenUsed/>
    <w:rsid w:val="00E3133B"/>
    <w:rPr>
      <w:color w:val="0069E8"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069E8" w:themeColor="text1"/>
      </w:rPr>
    </w:tblStylePr>
    <w:tblStylePr w:type="nwCell">
      <w:rPr>
        <w:color w:val="0069E8" w:themeColor="text1"/>
      </w:rPr>
    </w:tblStylePr>
  </w:style>
  <w:style w:type="table" w:styleId="Fargeriktrutenett">
    <w:name w:val="Colorful Grid"/>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text1" w:themeFillTint="33"/>
    </w:tcPr>
    <w:tblStylePr w:type="firstRow">
      <w:rPr>
        <w:b/>
        <w:bCs/>
      </w:rPr>
      <w:tblPr/>
      <w:tcPr>
        <w:shd w:val="clear" w:color="auto" w:fill="8FC1FF" w:themeFill="text1" w:themeFillTint="66"/>
      </w:tcPr>
    </w:tblStylePr>
    <w:tblStylePr w:type="lastRow">
      <w:rPr>
        <w:b/>
        <w:bCs/>
        <w:color w:val="0069E8" w:themeColor="text1"/>
      </w:rPr>
      <w:tblPr/>
      <w:tcPr>
        <w:shd w:val="clear" w:color="auto" w:fill="8FC1FF" w:themeFill="text1" w:themeFillTint="66"/>
      </w:tcPr>
    </w:tblStylePr>
    <w:tblStylePr w:type="firstCol">
      <w:rPr>
        <w:color w:val="F0F0F0" w:themeColor="background1"/>
      </w:rPr>
      <w:tblPr/>
      <w:tcPr>
        <w:shd w:val="clear" w:color="auto" w:fill="004EAD" w:themeFill="text1" w:themeFillShade="BF"/>
      </w:tcPr>
    </w:tblStylePr>
    <w:tblStylePr w:type="lastCol">
      <w:rPr>
        <w:color w:val="F0F0F0" w:themeColor="background1"/>
      </w:rPr>
      <w:tblPr/>
      <w:tcPr>
        <w:shd w:val="clear" w:color="auto" w:fill="004EAD" w:themeFill="text1" w:themeFillShade="BF"/>
      </w:tc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Fargeriktrutenettuthevingsfarge1">
    <w:name w:val="Colorful Grid Accent 1"/>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069E8"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Fargeriktrutenettuthevingsfarge2">
    <w:name w:val="Colorful Grid Accent 2"/>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069E8"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Fargeriktrutenettuthevingsfarge3">
    <w:name w:val="Colorful Grid Accent 3"/>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069E8"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Fargeriktrutenettuthevingsfarge4">
    <w:name w:val="Colorful Grid Accent 4"/>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69E8"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Fargeriktrutenettuthevingsfarge5">
    <w:name w:val="Colorful Grid Accent 5"/>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69E8"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069E8"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paragraph" w:styleId="Figurliste">
    <w:name w:val="table of figures"/>
    <w:basedOn w:val="Normal"/>
    <w:next w:val="Normal"/>
    <w:uiPriority w:val="99"/>
    <w:semiHidden/>
    <w:unhideWhenUsed/>
    <w:rsid w:val="00E3133B"/>
  </w:style>
  <w:style w:type="character" w:styleId="Fotnotereferanse">
    <w:name w:val="footnote reference"/>
    <w:basedOn w:val="Standardskriftforavsnitt"/>
    <w:uiPriority w:val="99"/>
    <w:unhideWhenUsed/>
    <w:rsid w:val="00E3133B"/>
    <w:rPr>
      <w:vertAlign w:val="superscript"/>
    </w:rPr>
  </w:style>
  <w:style w:type="paragraph" w:styleId="Fotnotetekst">
    <w:name w:val="footnote text"/>
    <w:basedOn w:val="Normal"/>
    <w:link w:val="FotnotetekstTegn"/>
    <w:uiPriority w:val="99"/>
    <w:rsid w:val="0051666F"/>
    <w:pPr>
      <w:spacing w:after="0"/>
      <w:outlineLvl w:val="8"/>
    </w:pPr>
    <w:rPr>
      <w:sz w:val="20"/>
      <w:szCs w:val="20"/>
    </w:rPr>
  </w:style>
  <w:style w:type="character" w:customStyle="1" w:styleId="FotnotetekstTegn">
    <w:name w:val="Fotnotetekst Tegn"/>
    <w:basedOn w:val="Standardskriftforavsnitt"/>
    <w:link w:val="Fotnotetekst"/>
    <w:uiPriority w:val="99"/>
    <w:rsid w:val="0051666F"/>
    <w:rPr>
      <w:rFonts w:ascii="Arial" w:hAnsi="Arial"/>
      <w:sz w:val="20"/>
      <w:szCs w:val="20"/>
    </w:rPr>
  </w:style>
  <w:style w:type="character" w:styleId="Fulgthyperkobling">
    <w:name w:val="FollowedHyperlink"/>
    <w:basedOn w:val="Standardskriftforavsnitt"/>
    <w:uiPriority w:val="99"/>
    <w:semiHidden/>
    <w:unhideWhenUsed/>
    <w:rsid w:val="00E3133B"/>
    <w:rPr>
      <w:color w:val="AE2CFE" w:themeColor="followedHyperlink"/>
      <w:u w:val="single"/>
    </w:rPr>
  </w:style>
  <w:style w:type="paragraph" w:styleId="Hilsen">
    <w:name w:val="Closing"/>
    <w:basedOn w:val="Normal"/>
    <w:link w:val="HilsenTegn"/>
    <w:uiPriority w:val="99"/>
    <w:semiHidden/>
    <w:unhideWhenUsed/>
    <w:rsid w:val="00E3133B"/>
    <w:pPr>
      <w:ind w:left="4252"/>
    </w:pPr>
  </w:style>
  <w:style w:type="character" w:customStyle="1" w:styleId="HilsenTegn">
    <w:name w:val="Hilsen Tegn"/>
    <w:basedOn w:val="Standardskriftforavsnitt"/>
    <w:link w:val="Hilsen"/>
    <w:uiPriority w:val="99"/>
    <w:semiHidden/>
    <w:rsid w:val="00E3133B"/>
  </w:style>
  <w:style w:type="paragraph" w:styleId="HTML-adresse">
    <w:name w:val="HTML Address"/>
    <w:basedOn w:val="Normal"/>
    <w:link w:val="HTML-adresseTegn"/>
    <w:uiPriority w:val="99"/>
    <w:semiHidden/>
    <w:unhideWhenUsed/>
    <w:rsid w:val="00E3133B"/>
    <w:rPr>
      <w:i/>
      <w:iCs/>
    </w:rPr>
  </w:style>
  <w:style w:type="character" w:customStyle="1" w:styleId="HTML-adresseTegn">
    <w:name w:val="HTML-adresse Tegn"/>
    <w:basedOn w:val="Standardskriftforavsnitt"/>
    <w:link w:val="HTML-adresse"/>
    <w:uiPriority w:val="99"/>
    <w:semiHidden/>
    <w:rsid w:val="00E3133B"/>
    <w:rPr>
      <w:i/>
      <w:iCs/>
    </w:rPr>
  </w:style>
  <w:style w:type="character" w:styleId="HTML-akronym">
    <w:name w:val="HTML Acronym"/>
    <w:basedOn w:val="Standardskriftforavsnitt"/>
    <w:uiPriority w:val="99"/>
    <w:semiHidden/>
    <w:unhideWhenUsed/>
    <w:rsid w:val="00E3133B"/>
  </w:style>
  <w:style w:type="character" w:styleId="HTML-definisjon">
    <w:name w:val="HTML Definition"/>
    <w:basedOn w:val="Standardskriftforavsnitt"/>
    <w:uiPriority w:val="99"/>
    <w:semiHidden/>
    <w:unhideWhenUsed/>
    <w:rsid w:val="00E3133B"/>
    <w:rPr>
      <w:i/>
      <w:iCs/>
    </w:rPr>
  </w:style>
  <w:style w:type="character" w:styleId="HTML-eksempel">
    <w:name w:val="HTML Sample"/>
    <w:basedOn w:val="Standardskriftforavsnitt"/>
    <w:uiPriority w:val="99"/>
    <w:semiHidden/>
    <w:unhideWhenUsed/>
    <w:rsid w:val="00E3133B"/>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E3133B"/>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semiHidden/>
    <w:rsid w:val="00E3133B"/>
    <w:rPr>
      <w:rFonts w:ascii="Consolas" w:hAnsi="Consolas" w:cs="Consolas"/>
      <w:sz w:val="20"/>
      <w:szCs w:val="20"/>
    </w:rPr>
  </w:style>
  <w:style w:type="character" w:styleId="HTML-kode">
    <w:name w:val="HTML Code"/>
    <w:basedOn w:val="Standardskriftforavsnitt"/>
    <w:uiPriority w:val="99"/>
    <w:semiHidden/>
    <w:unhideWhenUsed/>
    <w:rsid w:val="00E3133B"/>
    <w:rPr>
      <w:rFonts w:ascii="Consolas" w:hAnsi="Consolas" w:cs="Consolas"/>
      <w:sz w:val="20"/>
      <w:szCs w:val="20"/>
    </w:rPr>
  </w:style>
  <w:style w:type="character" w:styleId="HTML-sitat">
    <w:name w:val="HTML Cite"/>
    <w:basedOn w:val="Standardskriftforavsnitt"/>
    <w:uiPriority w:val="99"/>
    <w:semiHidden/>
    <w:unhideWhenUsed/>
    <w:rsid w:val="00E3133B"/>
    <w:rPr>
      <w:i/>
      <w:iCs/>
    </w:rPr>
  </w:style>
  <w:style w:type="character" w:styleId="HTML-skrivemaskin">
    <w:name w:val="HTML Typewriter"/>
    <w:basedOn w:val="Standardskriftforavsnitt"/>
    <w:uiPriority w:val="99"/>
    <w:semiHidden/>
    <w:unhideWhenUsed/>
    <w:rsid w:val="00E3133B"/>
    <w:rPr>
      <w:rFonts w:ascii="Consolas" w:hAnsi="Consolas" w:cs="Consolas"/>
      <w:sz w:val="20"/>
      <w:szCs w:val="20"/>
    </w:rPr>
  </w:style>
  <w:style w:type="character" w:styleId="HTML-tastatur">
    <w:name w:val="HTML Keyboard"/>
    <w:basedOn w:val="Standardskriftforavsnitt"/>
    <w:uiPriority w:val="99"/>
    <w:semiHidden/>
    <w:unhideWhenUsed/>
    <w:rsid w:val="00E3133B"/>
    <w:rPr>
      <w:rFonts w:ascii="Consolas" w:hAnsi="Consolas" w:cs="Consolas"/>
      <w:sz w:val="20"/>
      <w:szCs w:val="20"/>
    </w:rPr>
  </w:style>
  <w:style w:type="character" w:styleId="HTML-variabel">
    <w:name w:val="HTML Variable"/>
    <w:basedOn w:val="Standardskriftforavsnitt"/>
    <w:uiPriority w:val="99"/>
    <w:semiHidden/>
    <w:unhideWhenUsed/>
    <w:rsid w:val="00E3133B"/>
    <w:rPr>
      <w:i/>
      <w:iCs/>
    </w:rPr>
  </w:style>
  <w:style w:type="character" w:styleId="Hyperkobling">
    <w:name w:val="Hyperlink"/>
    <w:basedOn w:val="Standardskriftforavsnitt"/>
    <w:uiPriority w:val="99"/>
    <w:unhideWhenUsed/>
    <w:qFormat/>
    <w:rsid w:val="0000394D"/>
    <w:rPr>
      <w:rFonts w:asciiTheme="majorHAnsi" w:hAnsiTheme="majorHAnsi"/>
      <w:color w:val="0069E8" w:themeColor="hyperlink"/>
      <w:sz w:val="22"/>
      <w:u w:val="single"/>
    </w:rPr>
  </w:style>
  <w:style w:type="paragraph" w:styleId="Indeks1">
    <w:name w:val="index 1"/>
    <w:basedOn w:val="Normal"/>
    <w:next w:val="Normal"/>
    <w:autoRedefine/>
    <w:uiPriority w:val="99"/>
    <w:semiHidden/>
    <w:unhideWhenUsed/>
    <w:rsid w:val="00E3133B"/>
    <w:pPr>
      <w:ind w:left="220" w:hanging="220"/>
    </w:pPr>
  </w:style>
  <w:style w:type="paragraph" w:styleId="Indeks2">
    <w:name w:val="index 2"/>
    <w:basedOn w:val="Normal"/>
    <w:next w:val="Normal"/>
    <w:autoRedefine/>
    <w:uiPriority w:val="99"/>
    <w:semiHidden/>
    <w:unhideWhenUsed/>
    <w:rsid w:val="00E3133B"/>
    <w:pPr>
      <w:ind w:left="440" w:hanging="220"/>
    </w:pPr>
  </w:style>
  <w:style w:type="paragraph" w:styleId="Indeks3">
    <w:name w:val="index 3"/>
    <w:basedOn w:val="Normal"/>
    <w:next w:val="Normal"/>
    <w:autoRedefine/>
    <w:uiPriority w:val="99"/>
    <w:semiHidden/>
    <w:unhideWhenUsed/>
    <w:rsid w:val="00E3133B"/>
    <w:pPr>
      <w:ind w:left="660" w:hanging="220"/>
    </w:pPr>
  </w:style>
  <w:style w:type="paragraph" w:styleId="Indeks4">
    <w:name w:val="index 4"/>
    <w:basedOn w:val="Normal"/>
    <w:next w:val="Normal"/>
    <w:autoRedefine/>
    <w:uiPriority w:val="99"/>
    <w:semiHidden/>
    <w:unhideWhenUsed/>
    <w:rsid w:val="00E3133B"/>
    <w:pPr>
      <w:ind w:left="880" w:hanging="220"/>
    </w:pPr>
  </w:style>
  <w:style w:type="paragraph" w:styleId="Indeks5">
    <w:name w:val="index 5"/>
    <w:basedOn w:val="Normal"/>
    <w:next w:val="Normal"/>
    <w:autoRedefine/>
    <w:uiPriority w:val="99"/>
    <w:semiHidden/>
    <w:unhideWhenUsed/>
    <w:rsid w:val="00E3133B"/>
    <w:pPr>
      <w:ind w:left="1100" w:hanging="220"/>
    </w:pPr>
  </w:style>
  <w:style w:type="paragraph" w:styleId="Indeks6">
    <w:name w:val="index 6"/>
    <w:basedOn w:val="Normal"/>
    <w:next w:val="Normal"/>
    <w:autoRedefine/>
    <w:uiPriority w:val="99"/>
    <w:semiHidden/>
    <w:unhideWhenUsed/>
    <w:rsid w:val="00E3133B"/>
    <w:pPr>
      <w:ind w:left="1320" w:hanging="220"/>
    </w:pPr>
  </w:style>
  <w:style w:type="paragraph" w:styleId="Indeks7">
    <w:name w:val="index 7"/>
    <w:basedOn w:val="Normal"/>
    <w:next w:val="Normal"/>
    <w:autoRedefine/>
    <w:uiPriority w:val="99"/>
    <w:semiHidden/>
    <w:unhideWhenUsed/>
    <w:rsid w:val="00E3133B"/>
    <w:pPr>
      <w:ind w:left="1540" w:hanging="220"/>
    </w:pPr>
  </w:style>
  <w:style w:type="paragraph" w:styleId="Indeks8">
    <w:name w:val="index 8"/>
    <w:basedOn w:val="Normal"/>
    <w:next w:val="Normal"/>
    <w:autoRedefine/>
    <w:uiPriority w:val="99"/>
    <w:semiHidden/>
    <w:unhideWhenUsed/>
    <w:rsid w:val="00E3133B"/>
    <w:pPr>
      <w:ind w:left="1760" w:hanging="220"/>
    </w:pPr>
  </w:style>
  <w:style w:type="paragraph" w:styleId="Indeks9">
    <w:name w:val="index 9"/>
    <w:basedOn w:val="Normal"/>
    <w:next w:val="Normal"/>
    <w:autoRedefine/>
    <w:uiPriority w:val="99"/>
    <w:semiHidden/>
    <w:unhideWhenUsed/>
    <w:rsid w:val="00E3133B"/>
    <w:pPr>
      <w:ind w:left="1980" w:hanging="220"/>
    </w:pPr>
  </w:style>
  <w:style w:type="paragraph" w:styleId="Ingenmellomrom">
    <w:name w:val="No Spacing"/>
    <w:aliases w:val="Tabellinnhold"/>
    <w:next w:val="Brdtekst"/>
    <w:link w:val="IngenmellomromTegn"/>
    <w:uiPriority w:val="1"/>
    <w:qFormat/>
    <w:rsid w:val="00A57774"/>
    <w:pPr>
      <w:framePr w:wrap="around" w:vAnchor="text" w:hAnchor="text" w:y="1"/>
      <w:spacing w:before="40" w:after="40" w:line="264" w:lineRule="auto"/>
    </w:pPr>
  </w:style>
  <w:style w:type="paragraph" w:styleId="INNH1">
    <w:name w:val="toc 1"/>
    <w:basedOn w:val="Normal"/>
    <w:next w:val="Normal"/>
    <w:autoRedefine/>
    <w:uiPriority w:val="39"/>
    <w:qFormat/>
    <w:rsid w:val="00680C1C"/>
    <w:pPr>
      <w:tabs>
        <w:tab w:val="right" w:leader="dot" w:pos="8959"/>
      </w:tabs>
      <w:spacing w:after="70" w:line="240" w:lineRule="auto"/>
    </w:pPr>
    <w:rPr>
      <w:b/>
      <w:noProof/>
      <w:color w:val="0069E8" w:themeColor="text1"/>
    </w:rPr>
  </w:style>
  <w:style w:type="paragraph" w:styleId="INNH2">
    <w:name w:val="toc 2"/>
    <w:basedOn w:val="Normal"/>
    <w:next w:val="Normal"/>
    <w:autoRedefine/>
    <w:uiPriority w:val="39"/>
    <w:qFormat/>
    <w:rsid w:val="00411A28"/>
    <w:pPr>
      <w:tabs>
        <w:tab w:val="left" w:pos="880"/>
        <w:tab w:val="right" w:leader="dot" w:pos="8959"/>
      </w:tabs>
      <w:spacing w:after="60"/>
      <w:ind w:left="397"/>
    </w:pPr>
  </w:style>
  <w:style w:type="paragraph" w:styleId="INNH3">
    <w:name w:val="toc 3"/>
    <w:basedOn w:val="Normal"/>
    <w:next w:val="Normal"/>
    <w:autoRedefine/>
    <w:uiPriority w:val="39"/>
    <w:unhideWhenUsed/>
    <w:qFormat/>
    <w:rsid w:val="00D0463D"/>
    <w:pPr>
      <w:tabs>
        <w:tab w:val="left" w:pos="1361"/>
        <w:tab w:val="left" w:pos="1560"/>
        <w:tab w:val="right" w:leader="dot" w:pos="8959"/>
      </w:tabs>
      <w:spacing w:after="80"/>
      <w:ind w:left="879"/>
    </w:pPr>
    <w:rPr>
      <w:noProof/>
    </w:rPr>
  </w:style>
  <w:style w:type="paragraph" w:styleId="INNH4">
    <w:name w:val="toc 4"/>
    <w:basedOn w:val="Normal"/>
    <w:next w:val="Normal"/>
    <w:autoRedefine/>
    <w:uiPriority w:val="39"/>
    <w:semiHidden/>
    <w:unhideWhenUsed/>
    <w:rsid w:val="00E3133B"/>
    <w:pPr>
      <w:spacing w:after="100"/>
      <w:ind w:left="660"/>
    </w:pPr>
  </w:style>
  <w:style w:type="paragraph" w:styleId="INNH5">
    <w:name w:val="toc 5"/>
    <w:basedOn w:val="Normal"/>
    <w:next w:val="Normal"/>
    <w:autoRedefine/>
    <w:uiPriority w:val="39"/>
    <w:semiHidden/>
    <w:unhideWhenUsed/>
    <w:rsid w:val="00E3133B"/>
    <w:pPr>
      <w:spacing w:after="100"/>
      <w:ind w:left="880"/>
    </w:pPr>
  </w:style>
  <w:style w:type="paragraph" w:styleId="INNH6">
    <w:name w:val="toc 6"/>
    <w:basedOn w:val="Normal"/>
    <w:next w:val="Normal"/>
    <w:autoRedefine/>
    <w:uiPriority w:val="39"/>
    <w:semiHidden/>
    <w:unhideWhenUsed/>
    <w:rsid w:val="00E3133B"/>
    <w:pPr>
      <w:spacing w:after="100"/>
      <w:ind w:left="1100"/>
    </w:pPr>
  </w:style>
  <w:style w:type="paragraph" w:styleId="INNH7">
    <w:name w:val="toc 7"/>
    <w:basedOn w:val="Normal"/>
    <w:next w:val="Normal"/>
    <w:autoRedefine/>
    <w:uiPriority w:val="39"/>
    <w:semiHidden/>
    <w:unhideWhenUsed/>
    <w:rsid w:val="00E3133B"/>
    <w:pPr>
      <w:spacing w:after="100"/>
      <w:ind w:left="1320"/>
    </w:pPr>
  </w:style>
  <w:style w:type="paragraph" w:styleId="INNH8">
    <w:name w:val="toc 8"/>
    <w:basedOn w:val="Normal"/>
    <w:next w:val="Normal"/>
    <w:autoRedefine/>
    <w:uiPriority w:val="39"/>
    <w:semiHidden/>
    <w:unhideWhenUsed/>
    <w:rsid w:val="00E3133B"/>
    <w:pPr>
      <w:spacing w:after="100"/>
      <w:ind w:left="1540"/>
    </w:pPr>
  </w:style>
  <w:style w:type="paragraph" w:styleId="INNH9">
    <w:name w:val="toc 9"/>
    <w:basedOn w:val="Normal"/>
    <w:next w:val="Normal"/>
    <w:autoRedefine/>
    <w:uiPriority w:val="39"/>
    <w:semiHidden/>
    <w:unhideWhenUsed/>
    <w:rsid w:val="00E3133B"/>
    <w:pPr>
      <w:spacing w:after="100"/>
      <w:ind w:left="1760"/>
    </w:pPr>
  </w:style>
  <w:style w:type="paragraph" w:styleId="Innledendehilsen">
    <w:name w:val="Salutation"/>
    <w:basedOn w:val="Normal"/>
    <w:next w:val="Normal"/>
    <w:link w:val="InnledendehilsenTegn"/>
    <w:uiPriority w:val="99"/>
    <w:semiHidden/>
    <w:unhideWhenUsed/>
    <w:rsid w:val="00E3133B"/>
  </w:style>
  <w:style w:type="character" w:customStyle="1" w:styleId="InnledendehilsenTegn">
    <w:name w:val="Innledende hilsen Tegn"/>
    <w:basedOn w:val="Standardskriftforavsnitt"/>
    <w:link w:val="Innledendehilsen"/>
    <w:uiPriority w:val="99"/>
    <w:semiHidden/>
    <w:rsid w:val="00E3133B"/>
  </w:style>
  <w:style w:type="paragraph" w:styleId="Kildeliste">
    <w:name w:val="table of authorities"/>
    <w:basedOn w:val="Normal"/>
    <w:next w:val="Normal"/>
    <w:uiPriority w:val="99"/>
    <w:semiHidden/>
    <w:unhideWhenUsed/>
    <w:rsid w:val="00E3133B"/>
    <w:pPr>
      <w:ind w:left="220" w:hanging="220"/>
    </w:pPr>
  </w:style>
  <w:style w:type="paragraph" w:styleId="Kildelisteoverskrift">
    <w:name w:val="toa heading"/>
    <w:basedOn w:val="Normal"/>
    <w:next w:val="Normal"/>
    <w:uiPriority w:val="99"/>
    <w:semiHidden/>
    <w:unhideWhenUsed/>
    <w:rsid w:val="00E3133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unhideWhenUsed/>
    <w:rsid w:val="00E3133B"/>
    <w:rPr>
      <w:sz w:val="20"/>
      <w:szCs w:val="20"/>
    </w:rPr>
  </w:style>
  <w:style w:type="character" w:customStyle="1" w:styleId="MerknadstekstTegn">
    <w:name w:val="Merknadstekst Tegn"/>
    <w:basedOn w:val="Standardskriftforavsnitt"/>
    <w:link w:val="Merknadstekst"/>
    <w:uiPriority w:val="99"/>
    <w:rsid w:val="00E3133B"/>
    <w:rPr>
      <w:sz w:val="20"/>
      <w:szCs w:val="20"/>
    </w:rPr>
  </w:style>
  <w:style w:type="paragraph" w:styleId="Kommentaremne">
    <w:name w:val="annotation subject"/>
    <w:basedOn w:val="Merknadstekst"/>
    <w:next w:val="Merknadstekst"/>
    <w:link w:val="KommentaremneTegn"/>
    <w:uiPriority w:val="99"/>
    <w:semiHidden/>
    <w:unhideWhenUsed/>
    <w:rsid w:val="00E3133B"/>
    <w:rPr>
      <w:b/>
      <w:bCs/>
    </w:rPr>
  </w:style>
  <w:style w:type="character" w:customStyle="1" w:styleId="KommentaremneTegn">
    <w:name w:val="Kommentaremne Tegn"/>
    <w:basedOn w:val="MerknadstekstTegn"/>
    <w:link w:val="Kommentaremne"/>
    <w:uiPriority w:val="99"/>
    <w:semiHidden/>
    <w:rsid w:val="00E3133B"/>
    <w:rPr>
      <w:b/>
      <w:bCs/>
      <w:sz w:val="20"/>
      <w:szCs w:val="20"/>
    </w:rPr>
  </w:style>
  <w:style w:type="paragraph" w:styleId="Konvoluttadresse">
    <w:name w:val="envelope address"/>
    <w:basedOn w:val="Normal"/>
    <w:uiPriority w:val="99"/>
    <w:semiHidden/>
    <w:unhideWhenUsed/>
    <w:rsid w:val="00E3133B"/>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E3133B"/>
  </w:style>
  <w:style w:type="paragraph" w:styleId="Liste">
    <w:name w:val="List"/>
    <w:basedOn w:val="Normal"/>
    <w:uiPriority w:val="99"/>
    <w:semiHidden/>
    <w:unhideWhenUsed/>
    <w:rsid w:val="00E3133B"/>
    <w:pPr>
      <w:ind w:left="283" w:hanging="283"/>
      <w:contextualSpacing/>
    </w:pPr>
  </w:style>
  <w:style w:type="paragraph" w:styleId="Liste-forts">
    <w:name w:val="List Continue"/>
    <w:basedOn w:val="Normal"/>
    <w:uiPriority w:val="99"/>
    <w:semiHidden/>
    <w:unhideWhenUsed/>
    <w:rsid w:val="00E3133B"/>
    <w:pPr>
      <w:spacing w:after="120"/>
      <w:ind w:left="283"/>
      <w:contextualSpacing/>
    </w:pPr>
  </w:style>
  <w:style w:type="paragraph" w:styleId="Liste-forts2">
    <w:name w:val="List Continue 2"/>
    <w:basedOn w:val="Normal"/>
    <w:uiPriority w:val="99"/>
    <w:semiHidden/>
    <w:unhideWhenUsed/>
    <w:rsid w:val="00E3133B"/>
    <w:pPr>
      <w:spacing w:after="120"/>
      <w:ind w:left="566"/>
      <w:contextualSpacing/>
    </w:pPr>
  </w:style>
  <w:style w:type="paragraph" w:styleId="Liste-forts3">
    <w:name w:val="List Continue 3"/>
    <w:basedOn w:val="Normal"/>
    <w:uiPriority w:val="99"/>
    <w:semiHidden/>
    <w:unhideWhenUsed/>
    <w:rsid w:val="00E3133B"/>
    <w:pPr>
      <w:spacing w:after="120"/>
      <w:ind w:left="849"/>
      <w:contextualSpacing/>
    </w:pPr>
  </w:style>
  <w:style w:type="paragraph" w:styleId="Liste-forts4">
    <w:name w:val="List Continue 4"/>
    <w:basedOn w:val="Normal"/>
    <w:uiPriority w:val="99"/>
    <w:semiHidden/>
    <w:unhideWhenUsed/>
    <w:rsid w:val="00E3133B"/>
    <w:pPr>
      <w:spacing w:after="120"/>
      <w:ind w:left="1132"/>
      <w:contextualSpacing/>
    </w:pPr>
  </w:style>
  <w:style w:type="paragraph" w:styleId="Liste-forts5">
    <w:name w:val="List Continue 5"/>
    <w:basedOn w:val="Normal"/>
    <w:uiPriority w:val="99"/>
    <w:semiHidden/>
    <w:unhideWhenUsed/>
    <w:rsid w:val="00E3133B"/>
    <w:pPr>
      <w:spacing w:after="120"/>
      <w:ind w:left="1415"/>
      <w:contextualSpacing/>
    </w:pPr>
  </w:style>
  <w:style w:type="paragraph" w:styleId="Liste2">
    <w:name w:val="List 2"/>
    <w:basedOn w:val="Normal"/>
    <w:uiPriority w:val="99"/>
    <w:semiHidden/>
    <w:unhideWhenUsed/>
    <w:rsid w:val="00E3133B"/>
    <w:pPr>
      <w:ind w:left="566" w:hanging="283"/>
      <w:contextualSpacing/>
    </w:pPr>
  </w:style>
  <w:style w:type="paragraph" w:styleId="Liste3">
    <w:name w:val="List 3"/>
    <w:basedOn w:val="Normal"/>
    <w:uiPriority w:val="99"/>
    <w:semiHidden/>
    <w:unhideWhenUsed/>
    <w:rsid w:val="00E3133B"/>
    <w:pPr>
      <w:ind w:left="849" w:hanging="283"/>
      <w:contextualSpacing/>
    </w:pPr>
  </w:style>
  <w:style w:type="paragraph" w:styleId="Liste4">
    <w:name w:val="List 4"/>
    <w:basedOn w:val="Normal"/>
    <w:uiPriority w:val="99"/>
    <w:semiHidden/>
    <w:unhideWhenUsed/>
    <w:rsid w:val="00E3133B"/>
    <w:pPr>
      <w:ind w:left="1132" w:hanging="283"/>
      <w:contextualSpacing/>
    </w:pPr>
  </w:style>
  <w:style w:type="paragraph" w:styleId="Liste5">
    <w:name w:val="List 5"/>
    <w:basedOn w:val="Normal"/>
    <w:uiPriority w:val="99"/>
    <w:semiHidden/>
    <w:unhideWhenUsed/>
    <w:rsid w:val="00E3133B"/>
    <w:pPr>
      <w:ind w:left="1415" w:hanging="283"/>
      <w:contextualSpacing/>
    </w:pPr>
  </w:style>
  <w:style w:type="paragraph" w:styleId="Listeavsnitt">
    <w:name w:val="List Paragraph"/>
    <w:basedOn w:val="Normal"/>
    <w:uiPriority w:val="34"/>
    <w:qFormat/>
    <w:rsid w:val="00611BF1"/>
    <w:pPr>
      <w:spacing w:before="60" w:after="60"/>
      <w:ind w:left="720"/>
    </w:pPr>
  </w:style>
  <w:style w:type="table" w:customStyle="1" w:styleId="Listetabell1lysuthevingsfarge41">
    <w:name w:val="Listetabell 1 lys – uthevingsfarge 41"/>
    <w:basedOn w:val="Vanligtabell"/>
    <w:uiPriority w:val="46"/>
    <w:rsid w:val="00AF56CB"/>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069E8"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
    <w:name w:val="Listetabell 2 – uthevingsfarge 41"/>
    <w:basedOn w:val="Vanligtabell"/>
    <w:uiPriority w:val="47"/>
    <w:rsid w:val="00E3133B"/>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
    <w:name w:val="Listetabell 2 – uthevingsfarge 51"/>
    <w:basedOn w:val="Vanligtabell"/>
    <w:uiPriority w:val="47"/>
    <w:rsid w:val="00E3133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
    <w:name w:val="Listetabell 3 – uthevingsfarge 31"/>
    <w:basedOn w:val="Vanligtabell"/>
    <w:uiPriority w:val="48"/>
    <w:rsid w:val="00E3133B"/>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
    <w:name w:val="Listetabell 4 – uthevingsfarge 41"/>
    <w:basedOn w:val="Vanligtabell"/>
    <w:uiPriority w:val="49"/>
    <w:rsid w:val="00D87574"/>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
    <w:name w:val="Listetabell 4 – uthevingsfarge 51"/>
    <w:basedOn w:val="Vanligtabell"/>
    <w:uiPriority w:val="49"/>
    <w:rsid w:val="00E3133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
    <w:name w:val="Listetabell 6 fargerik1"/>
    <w:basedOn w:val="Vanligtabell"/>
    <w:uiPriority w:val="51"/>
    <w:rsid w:val="00E3133B"/>
    <w:rPr>
      <w:color w:val="0069E8" w:themeColor="text1"/>
    </w:rPr>
    <w:tblPr>
      <w:tblStyleRowBandSize w:val="1"/>
      <w:tblStyleColBandSize w:val="1"/>
      <w:tblBorders>
        <w:top w:val="single" w:sz="4" w:space="0" w:color="0069E8" w:themeColor="text1"/>
        <w:bottom w:val="single" w:sz="4" w:space="0" w:color="0069E8" w:themeColor="text1"/>
      </w:tblBorders>
    </w:tblPr>
    <w:tblStylePr w:type="firstRow">
      <w:rPr>
        <w:b/>
        <w:bCs/>
      </w:rPr>
      <w:tblPr/>
      <w:tcPr>
        <w:tcBorders>
          <w:bottom w:val="single" w:sz="4" w:space="0" w:color="0069E8" w:themeColor="text1"/>
        </w:tcBorders>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Listetabell6fargerikuthevingsfarge41">
    <w:name w:val="Listetabell 6 fargerik – uthevingsfarge 41"/>
    <w:basedOn w:val="Vanligtabell"/>
    <w:uiPriority w:val="51"/>
    <w:rsid w:val="00E3133B"/>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
    <w:name w:val="Listetabell 6 fargerik – uthevingsfarge 51"/>
    <w:basedOn w:val="Vanligtabell"/>
    <w:uiPriority w:val="51"/>
    <w:rsid w:val="00E3133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ysliste">
    <w:name w:val="Light List"/>
    <w:basedOn w:val="Vanligtabell"/>
    <w:uiPriority w:val="61"/>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pPr>
        <w:spacing w:before="0" w:after="0" w:line="240" w:lineRule="auto"/>
      </w:pPr>
      <w:rPr>
        <w:b/>
        <w:bCs/>
        <w:color w:val="F0F0F0" w:themeColor="background1"/>
      </w:rPr>
      <w:tblPr/>
      <w:tcPr>
        <w:shd w:val="clear" w:color="auto" w:fill="0069E8" w:themeFill="text1"/>
      </w:tcPr>
    </w:tblStylePr>
    <w:tblStylePr w:type="lastRow">
      <w:pPr>
        <w:spacing w:before="0" w:after="0" w:line="240" w:lineRule="auto"/>
      </w:pPr>
      <w:rPr>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tcBorders>
      </w:tcPr>
    </w:tblStylePr>
    <w:tblStylePr w:type="firstCol">
      <w:rPr>
        <w:b/>
        <w:bCs/>
      </w:rPr>
    </w:tblStylePr>
    <w:tblStylePr w:type="lastCol">
      <w:rPr>
        <w:b/>
        <w:bCs/>
      </w:r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style>
  <w:style w:type="table" w:styleId="Lyslisteuthevingsfarge1">
    <w:name w:val="Light List Accent 1"/>
    <w:basedOn w:val="Vanligtabell"/>
    <w:uiPriority w:val="61"/>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styleId="Lyslisteuthevingsfarge2">
    <w:name w:val="Light List Accent 2"/>
    <w:basedOn w:val="Vanligtabell"/>
    <w:uiPriority w:val="61"/>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styleId="Lyslisteuthevingsfarge3">
    <w:name w:val="Light List Accent 3"/>
    <w:basedOn w:val="Vanligtabell"/>
    <w:uiPriority w:val="61"/>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styleId="Lyslisteuthevingsfarge4">
    <w:name w:val="Light List Accent 4"/>
    <w:basedOn w:val="Vanligtabell"/>
    <w:uiPriority w:val="61"/>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yslisteuthevingsfarge5">
    <w:name w:val="Light List Accent 5"/>
    <w:basedOn w:val="Vanligtabell"/>
    <w:uiPriority w:val="61"/>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styleId="Lysskyggelegging">
    <w:name w:val="Light Shading"/>
    <w:basedOn w:val="Vanligtabell"/>
    <w:uiPriority w:val="60"/>
    <w:semiHidden/>
    <w:unhideWhenUsed/>
    <w:rsid w:val="00E3133B"/>
    <w:rPr>
      <w:color w:val="004EAD" w:themeColor="text1" w:themeShade="BF"/>
    </w:rPr>
    <w:tblPr>
      <w:tblStyleRowBandSize w:val="1"/>
      <w:tblStyleColBandSize w:val="1"/>
      <w:tblBorders>
        <w:top w:val="single" w:sz="8" w:space="0" w:color="0069E8" w:themeColor="text1"/>
        <w:bottom w:val="single" w:sz="8" w:space="0" w:color="0069E8" w:themeColor="text1"/>
      </w:tblBorders>
    </w:tblPr>
    <w:tblStylePr w:type="fir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la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left w:val="nil"/>
          <w:right w:val="nil"/>
          <w:insideH w:val="nil"/>
          <w:insideV w:val="nil"/>
        </w:tcBorders>
        <w:shd w:val="clear" w:color="auto" w:fill="BAD9FF" w:themeFill="text1" w:themeFillTint="3F"/>
      </w:tcPr>
    </w:tblStylePr>
  </w:style>
  <w:style w:type="table" w:styleId="Lysskyggelegginguthevingsfarge1">
    <w:name w:val="Light Shading Accent 1"/>
    <w:basedOn w:val="Vanligtabell"/>
    <w:uiPriority w:val="60"/>
    <w:semiHidden/>
    <w:unhideWhenUsed/>
    <w:rsid w:val="00E3133B"/>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styleId="Lysskyggelegginguthevingsfarge2">
    <w:name w:val="Light Shading Accent 2"/>
    <w:basedOn w:val="Vanligtabell"/>
    <w:uiPriority w:val="60"/>
    <w:semiHidden/>
    <w:unhideWhenUsed/>
    <w:rsid w:val="00E3133B"/>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styleId="Lysskyggelegginguthevingsfarge3">
    <w:name w:val="Light Shading Accent 3"/>
    <w:basedOn w:val="Vanligtabell"/>
    <w:uiPriority w:val="60"/>
    <w:semiHidden/>
    <w:unhideWhenUsed/>
    <w:rsid w:val="00E3133B"/>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styleId="Lysskyggelegginguthevingsfarge4">
    <w:name w:val="Light Shading Accent 4"/>
    <w:basedOn w:val="Vanligtabell"/>
    <w:uiPriority w:val="60"/>
    <w:semiHidden/>
    <w:unhideWhenUsed/>
    <w:rsid w:val="00E3133B"/>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ysskyggelegginguthevingsfarge5">
    <w:name w:val="Light Shading Accent 5"/>
    <w:basedOn w:val="Vanligtabell"/>
    <w:uiPriority w:val="60"/>
    <w:semiHidden/>
    <w:unhideWhenUsed/>
    <w:rsid w:val="00E3133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E3133B"/>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styleId="Lystrutenett">
    <w:name w:val="Light Grid"/>
    <w:basedOn w:val="Vanligtabell"/>
    <w:uiPriority w:val="62"/>
    <w:semiHidden/>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18" w:space="0" w:color="0069E8" w:themeColor="text1"/>
          <w:right w:val="single" w:sz="8" w:space="0" w:color="0069E8" w:themeColor="text1"/>
          <w:insideH w:val="nil"/>
          <w:insideV w:val="single" w:sz="8" w:space="0" w:color="0069E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insideH w:val="nil"/>
          <w:insideV w:val="single" w:sz="8" w:space="0" w:color="0069E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shd w:val="clear" w:color="auto" w:fill="BAD9FF" w:themeFill="text1" w:themeFillTint="3F"/>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shd w:val="clear" w:color="auto" w:fill="BAD9FF" w:themeFill="text1" w:themeFillTint="3F"/>
      </w:tcPr>
    </w:tblStylePr>
    <w:tblStylePr w:type="band2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tcPr>
    </w:tblStylePr>
  </w:style>
  <w:style w:type="table" w:styleId="Lystrutenettuthevingsfarge1">
    <w:name w:val="Light Grid Accent 1"/>
    <w:basedOn w:val="Vanligtabell"/>
    <w:uiPriority w:val="62"/>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styleId="Lystrutenettuthevingsfarge2">
    <w:name w:val="Light Grid Accent 2"/>
    <w:basedOn w:val="Vanligtabell"/>
    <w:uiPriority w:val="62"/>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styleId="Lystrutenettuthevingsfarge3">
    <w:name w:val="Light Grid Accent 3"/>
    <w:basedOn w:val="Vanligtabell"/>
    <w:uiPriority w:val="62"/>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styleId="Lystrutenettuthevingsfarge4">
    <w:name w:val="Light Grid Accent 4"/>
    <w:basedOn w:val="Vanligtabell"/>
    <w:uiPriority w:val="62"/>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ystrutenettuthevingsfarge5">
    <w:name w:val="Light Grid Accent 5"/>
    <w:basedOn w:val="Vanligtabell"/>
    <w:uiPriority w:val="62"/>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paragraph" w:styleId="Makrotekst">
    <w:name w:val="macro"/>
    <w:link w:val="MakrotekstTegn"/>
    <w:uiPriority w:val="99"/>
    <w:semiHidden/>
    <w:unhideWhenUsed/>
    <w:rsid w:val="00E313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E3133B"/>
    <w:rPr>
      <w:rFonts w:ascii="Consolas" w:hAnsi="Consolas" w:cs="Consolas"/>
      <w:sz w:val="20"/>
      <w:szCs w:val="20"/>
    </w:rPr>
  </w:style>
  <w:style w:type="paragraph" w:styleId="Meldingshode">
    <w:name w:val="Message Header"/>
    <w:basedOn w:val="Normal"/>
    <w:link w:val="MeldingshodeTegn"/>
    <w:uiPriority w:val="99"/>
    <w:semiHidden/>
    <w:unhideWhenUsed/>
    <w:rsid w:val="00E3133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E3133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E3133B"/>
    <w:rPr>
      <w:sz w:val="16"/>
      <w:szCs w:val="16"/>
    </w:rPr>
  </w:style>
  <w:style w:type="table" w:styleId="Middelsliste1">
    <w:name w:val="Medium List 1"/>
    <w:basedOn w:val="Vanligtabell"/>
    <w:uiPriority w:val="65"/>
    <w:semiHidden/>
    <w:unhideWhenUsed/>
    <w:rsid w:val="00E3133B"/>
    <w:rPr>
      <w:color w:val="0069E8" w:themeColor="text1"/>
    </w:rPr>
    <w:tblPr>
      <w:tblStyleRowBandSize w:val="1"/>
      <w:tblStyleColBandSize w:val="1"/>
      <w:tblBorders>
        <w:top w:val="single" w:sz="8" w:space="0" w:color="0069E8" w:themeColor="text1"/>
        <w:bottom w:val="single" w:sz="8" w:space="0" w:color="0069E8" w:themeColor="text1"/>
      </w:tblBorders>
    </w:tblPr>
    <w:tblStylePr w:type="firstRow">
      <w:rPr>
        <w:rFonts w:asciiTheme="majorHAnsi" w:eastAsiaTheme="majorEastAsia" w:hAnsiTheme="majorHAnsi" w:cstheme="majorBidi"/>
      </w:rPr>
      <w:tblPr/>
      <w:tcPr>
        <w:tcBorders>
          <w:top w:val="nil"/>
          <w:bottom w:val="single" w:sz="8" w:space="0" w:color="0069E8" w:themeColor="text1"/>
        </w:tcBorders>
      </w:tcPr>
    </w:tblStylePr>
    <w:tblStylePr w:type="lastRow">
      <w:rPr>
        <w:b/>
        <w:bCs/>
        <w:color w:val="037A94" w:themeColor="text2"/>
      </w:rPr>
      <w:tblPr/>
      <w:tcPr>
        <w:tcBorders>
          <w:top w:val="single" w:sz="8" w:space="0" w:color="0069E8" w:themeColor="text1"/>
          <w:bottom w:val="single" w:sz="8" w:space="0" w:color="0069E8" w:themeColor="text1"/>
        </w:tcBorders>
      </w:tcPr>
    </w:tblStylePr>
    <w:tblStylePr w:type="firstCol">
      <w:rPr>
        <w:b/>
        <w:bCs/>
      </w:rPr>
    </w:tblStylePr>
    <w:tblStylePr w:type="lastCol">
      <w:rPr>
        <w:b/>
        <w:bCs/>
      </w:rPr>
      <w:tblPr/>
      <w:tcPr>
        <w:tcBorders>
          <w:top w:val="single" w:sz="8" w:space="0" w:color="0069E8" w:themeColor="text1"/>
          <w:bottom w:val="single" w:sz="8" w:space="0" w:color="0069E8" w:themeColor="text1"/>
        </w:tcBorders>
      </w:tcPr>
    </w:tblStylePr>
    <w:tblStylePr w:type="band1Vert">
      <w:tblPr/>
      <w:tcPr>
        <w:shd w:val="clear" w:color="auto" w:fill="BAD9FF" w:themeFill="text1" w:themeFillTint="3F"/>
      </w:tcPr>
    </w:tblStylePr>
    <w:tblStylePr w:type="band1Horz">
      <w:tblPr/>
      <w:tcPr>
        <w:shd w:val="clear" w:color="auto" w:fill="BAD9FF" w:themeFill="text1" w:themeFillTint="3F"/>
      </w:tcPr>
    </w:tblStylePr>
  </w:style>
  <w:style w:type="table" w:styleId="Middelsliste1uthevingsfarge1">
    <w:name w:val="Medium List 1 Accent 1"/>
    <w:basedOn w:val="Vanligtabell"/>
    <w:uiPriority w:val="65"/>
    <w:semiHidden/>
    <w:unhideWhenUsed/>
    <w:rsid w:val="00E3133B"/>
    <w:rPr>
      <w:color w:val="0069E8"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37A94"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styleId="Middelsliste1uthevingsfarge2">
    <w:name w:val="Medium List 1 Accent 2"/>
    <w:basedOn w:val="Vanligtabell"/>
    <w:uiPriority w:val="65"/>
    <w:semiHidden/>
    <w:unhideWhenUsed/>
    <w:rsid w:val="00E3133B"/>
    <w:rPr>
      <w:color w:val="0069E8"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37A94"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styleId="Middelsliste1uthevingsfarge3">
    <w:name w:val="Medium List 1 Accent 3"/>
    <w:basedOn w:val="Vanligtabell"/>
    <w:uiPriority w:val="65"/>
    <w:semiHidden/>
    <w:unhideWhenUsed/>
    <w:rsid w:val="00E3133B"/>
    <w:rPr>
      <w:color w:val="0069E8"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37A94"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styleId="Middelsliste1uthevingsfarge4">
    <w:name w:val="Medium List 1 Accent 4"/>
    <w:basedOn w:val="Vanligtabell"/>
    <w:uiPriority w:val="65"/>
    <w:semiHidden/>
    <w:unhideWhenUsed/>
    <w:rsid w:val="00E3133B"/>
    <w:rPr>
      <w:color w:val="0069E8"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37A94"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iddelsliste1uthevingsfarge5">
    <w:name w:val="Medium List 1 Accent 5"/>
    <w:basedOn w:val="Vanligtabell"/>
    <w:uiPriority w:val="65"/>
    <w:semiHidden/>
    <w:unhideWhenUsed/>
    <w:rsid w:val="00E3133B"/>
    <w:rPr>
      <w:color w:val="0069E8"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37A94"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E3133B"/>
    <w:rPr>
      <w:color w:val="0069E8"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37A94"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styleId="Middelsliste2">
    <w:name w:val="Medium Lis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rPr>
        <w:sz w:val="24"/>
        <w:szCs w:val="24"/>
      </w:rPr>
      <w:tblPr/>
      <w:tcPr>
        <w:tcBorders>
          <w:top w:val="nil"/>
          <w:left w:val="nil"/>
          <w:bottom w:val="single" w:sz="24" w:space="0" w:color="0069E8" w:themeColor="text1"/>
          <w:right w:val="nil"/>
          <w:insideH w:val="nil"/>
          <w:insideV w:val="nil"/>
        </w:tcBorders>
        <w:shd w:val="clear" w:color="auto" w:fill="F0F0F0" w:themeFill="background1"/>
      </w:tcPr>
    </w:tblStylePr>
    <w:tblStylePr w:type="lastRow">
      <w:tblPr/>
      <w:tcPr>
        <w:tcBorders>
          <w:top w:val="single" w:sz="8" w:space="0" w:color="0069E8"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text1"/>
          <w:insideH w:val="nil"/>
          <w:insideV w:val="nil"/>
        </w:tcBorders>
        <w:shd w:val="clear" w:color="auto" w:fill="F0F0F0" w:themeFill="background1"/>
      </w:tcPr>
    </w:tblStylePr>
    <w:tblStylePr w:type="lastCol">
      <w:tblPr/>
      <w:tcPr>
        <w:tcBorders>
          <w:top w:val="nil"/>
          <w:left w:val="single" w:sz="8" w:space="0" w:color="0069E8"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top w:val="nil"/>
          <w:bottom w:val="nil"/>
          <w:insideH w:val="nil"/>
          <w:insideV w:val="nil"/>
        </w:tcBorders>
        <w:shd w:val="clear" w:color="auto" w:fill="BAD9FF"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insideV w:val="single" w:sz="8" w:space="0" w:color="2E8CFF" w:themeColor="text1" w:themeTint="BF"/>
      </w:tblBorders>
    </w:tblPr>
    <w:tcPr>
      <w:shd w:val="clear" w:color="auto" w:fill="BAD9FF" w:themeFill="text1" w:themeFillTint="3F"/>
    </w:tcPr>
    <w:tblStylePr w:type="firstRow">
      <w:rPr>
        <w:b/>
        <w:bCs/>
      </w:rPr>
    </w:tblStylePr>
    <w:tblStylePr w:type="lastRow">
      <w:rPr>
        <w:b/>
        <w:bCs/>
      </w:rPr>
      <w:tblPr/>
      <w:tcPr>
        <w:tcBorders>
          <w:top w:val="single" w:sz="18" w:space="0" w:color="2E8CFF" w:themeColor="text1" w:themeTint="BF"/>
        </w:tcBorders>
      </w:tcPr>
    </w:tblStylePr>
    <w:tblStylePr w:type="firstCol">
      <w:rPr>
        <w:b/>
        <w:bCs/>
      </w:rPr>
    </w:tblStylePr>
    <w:tblStylePr w:type="lastCol">
      <w:rPr>
        <w:b/>
        <w:bCs/>
      </w:r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Middelsrutenett1uthevingsfarge1">
    <w:name w:val="Medium Grid 1 Accent 1"/>
    <w:basedOn w:val="Vanligtabell"/>
    <w:uiPriority w:val="67"/>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Middelsrutenett1uthevingsfarge2">
    <w:name w:val="Medium Grid 1 Accent 2"/>
    <w:basedOn w:val="Vanligtabell"/>
    <w:uiPriority w:val="67"/>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Middelsrutenett1uthevingsfarge3">
    <w:name w:val="Medium Grid 1 Accent 3"/>
    <w:basedOn w:val="Vanligtabell"/>
    <w:uiPriority w:val="67"/>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Middelsrutenett1uthevingsfarge4">
    <w:name w:val="Medium Grid 1 Accent 4"/>
    <w:basedOn w:val="Vanligtabell"/>
    <w:uiPriority w:val="67"/>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iddelsrutenett1uthevingsfarge5">
    <w:name w:val="Medium Grid 1 Accent 5"/>
    <w:basedOn w:val="Vanligtabell"/>
    <w:uiPriority w:val="67"/>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styleId="Middelsrutenett2">
    <w:name w:val="Medium Grid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cPr>
      <w:shd w:val="clear" w:color="auto" w:fill="BAD9FF" w:themeFill="text1" w:themeFillTint="3F"/>
    </w:tcPr>
    <w:tblStylePr w:type="firstRow">
      <w:rPr>
        <w:b/>
        <w:bCs/>
        <w:color w:val="0069E8" w:themeColor="text1"/>
      </w:rPr>
      <w:tblPr/>
      <w:tcPr>
        <w:shd w:val="clear" w:color="auto" w:fill="E3EFFF" w:themeFill="tex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text1" w:themeFillTint="33"/>
      </w:tcPr>
    </w:tblStylePr>
    <w:tblStylePr w:type="band1Vert">
      <w:tblPr/>
      <w:tcPr>
        <w:shd w:val="clear" w:color="auto" w:fill="74B2FF" w:themeFill="text1" w:themeFillTint="7F"/>
      </w:tcPr>
    </w:tblStylePr>
    <w:tblStylePr w:type="band1Horz">
      <w:tblPr/>
      <w:tcPr>
        <w:tcBorders>
          <w:insideH w:val="single" w:sz="6" w:space="0" w:color="0069E8" w:themeColor="text1"/>
          <w:insideV w:val="single" w:sz="6" w:space="0" w:color="0069E8" w:themeColor="text1"/>
        </w:tcBorders>
        <w:shd w:val="clear" w:color="auto" w:fill="74B2FF" w:themeFill="text1" w:themeFillTint="7F"/>
      </w:tcPr>
    </w:tblStylePr>
    <w:tblStylePr w:type="nwCell">
      <w:tblPr/>
      <w:tcPr>
        <w:shd w:val="clear" w:color="auto" w:fill="F0F0F0" w:themeFill="background1"/>
      </w:tcPr>
    </w:tblStylePr>
  </w:style>
  <w:style w:type="table" w:styleId="Middelsrutenett2uthevingsfarge1">
    <w:name w:val="Medium Grid 2 Accent 1"/>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069E8" w:themeColor="text1"/>
      </w:rPr>
      <w:tblPr/>
      <w:tcPr>
        <w:shd w:val="clear" w:color="auto" w:fill="DCF8FE" w:themeFill="accen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styleId="Middelsrutenett2uthevingsfarge2">
    <w:name w:val="Medium Grid 2 Accent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069E8" w:themeColor="text1"/>
      </w:rPr>
      <w:tblPr/>
      <w:tcPr>
        <w:shd w:val="clear" w:color="auto" w:fill="E3EFFF" w:themeFill="accent2"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styleId="Middelsrutenett2uthevingsfarge3">
    <w:name w:val="Medium Grid 2 Accent 3"/>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069E8" w:themeColor="text1"/>
      </w:rPr>
      <w:tblPr/>
      <w:tcPr>
        <w:shd w:val="clear" w:color="auto" w:fill="EBE4EE" w:themeFill="accent3"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styleId="Middelsrutenett2uthevingsfarge4">
    <w:name w:val="Medium Grid 2 Accent 4"/>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69E8" w:themeColor="text1"/>
      </w:rPr>
      <w:tblPr/>
      <w:tcPr>
        <w:shd w:val="clear" w:color="auto" w:fill="E6E6E6" w:themeFill="accent4"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styleId="Middelsrutenett2uthevingsfarge5">
    <w:name w:val="Medium Grid 2 Accent 5"/>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69E8" w:themeColor="text1"/>
      </w:rPr>
      <w:tblPr/>
      <w:tcPr>
        <w:shd w:val="clear" w:color="auto" w:fill="EDF6F9" w:themeFill="accent5"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styleId="Middelsrutenett2uthevingsfarge6">
    <w:name w:val="Medium Grid 2 Accent 6"/>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069E8" w:themeColor="text1"/>
      </w:rPr>
      <w:tblPr/>
      <w:tcPr>
        <w:shd w:val="clear" w:color="auto" w:fill="FEF2FF" w:themeFill="accent6"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styleId="Middelsrutenett3">
    <w:name w:val="Medium Grid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text1" w:themeFillTint="7F"/>
      </w:tcPr>
    </w:tblStylePr>
  </w:style>
  <w:style w:type="table" w:styleId="Middelsrutenett3uthevingsfarge1">
    <w:name w:val="Medium Grid 3 Accent 1"/>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styleId="Middelsrutenett3uthevingsfarge2">
    <w:name w:val="Medium Grid 3 Accent 2"/>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styleId="Middelsrutenett3uthevingsfarge3">
    <w:name w:val="Medium Grid 3 Accent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styleId="Middelsrutenett3uthevingsfarge4">
    <w:name w:val="Medium Grid 3 Accent 4"/>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styleId="Middelsrutenett3uthevingsfarge5">
    <w:name w:val="Medium Grid 3 Accent 5"/>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styleId="Middelsskyggelegging1">
    <w:name w:val="Medium Shading 1"/>
    <w:basedOn w:val="Vanligtabell"/>
    <w:uiPriority w:val="63"/>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tblBorders>
    </w:tblPr>
    <w:tblStylePr w:type="firstRow">
      <w:pPr>
        <w:spacing w:before="0" w:after="0" w:line="240" w:lineRule="auto"/>
      </w:pPr>
      <w:rPr>
        <w:b/>
        <w:bCs/>
        <w:color w:val="F0F0F0" w:themeColor="background1"/>
      </w:rPr>
      <w:tblPr/>
      <w:tcPr>
        <w:tc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shd w:val="clear" w:color="auto" w:fill="0069E8" w:themeFill="text1"/>
      </w:tcPr>
    </w:tblStylePr>
    <w:tblStylePr w:type="lastRow">
      <w:pPr>
        <w:spacing w:before="0" w:after="0" w:line="240" w:lineRule="auto"/>
      </w:pPr>
      <w:rPr>
        <w:b/>
        <w:bCs/>
      </w:rPr>
      <w:tblPr/>
      <w:tcPr>
        <w:tcBorders>
          <w:top w:val="double" w:sz="6"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tcPr>
    </w:tblStylePr>
    <w:tblStylePr w:type="firstCol">
      <w:rPr>
        <w:b/>
        <w:bCs/>
      </w:rPr>
    </w:tblStylePr>
    <w:tblStylePr w:type="lastCol">
      <w:rPr>
        <w:b/>
        <w:bCs/>
      </w:rPr>
    </w:tblStylePr>
    <w:tblStylePr w:type="band1Vert">
      <w:tblPr/>
      <w:tcPr>
        <w:shd w:val="clear" w:color="auto" w:fill="BAD9FF" w:themeFill="text1" w:themeFillTint="3F"/>
      </w:tcPr>
    </w:tblStylePr>
    <w:tblStylePr w:type="band1Horz">
      <w:tblPr/>
      <w:tcPr>
        <w:tcBorders>
          <w:insideH w:val="nil"/>
          <w:insideV w:val="nil"/>
        </w:tcBorders>
        <w:shd w:val="clear" w:color="auto" w:fill="BAD9FF"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text1"/>
      </w:tcPr>
    </w:tblStylePr>
    <w:tblStylePr w:type="lastCol">
      <w:rPr>
        <w:b/>
        <w:bCs/>
        <w:color w:val="F0F0F0" w:themeColor="background1"/>
      </w:rPr>
      <w:tblPr/>
      <w:tcPr>
        <w:tcBorders>
          <w:left w:val="nil"/>
          <w:right w:val="nil"/>
          <w:insideH w:val="nil"/>
          <w:insideV w:val="nil"/>
        </w:tcBorders>
        <w:shd w:val="clear" w:color="auto" w:fill="0069E8"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E3133B"/>
    <w:rPr>
      <w:color w:val="F0F0F0" w:themeColor="background1"/>
    </w:rPr>
    <w:tblPr>
      <w:tblStyleRowBandSize w:val="1"/>
      <w:tblStyleColBandSize w:val="1"/>
    </w:tblPr>
    <w:tcPr>
      <w:shd w:val="clear" w:color="auto" w:fill="0069E8"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text1" w:themeFillShade="BF"/>
      </w:tcPr>
    </w:tblStylePr>
    <w:tblStylePr w:type="band1Vert">
      <w:tblPr/>
      <w:tcPr>
        <w:tcBorders>
          <w:top w:val="nil"/>
          <w:left w:val="nil"/>
          <w:bottom w:val="nil"/>
          <w:right w:val="nil"/>
          <w:insideH w:val="nil"/>
          <w:insideV w:val="nil"/>
        </w:tcBorders>
        <w:shd w:val="clear" w:color="auto" w:fill="004EAD" w:themeFill="text1" w:themeFillShade="BF"/>
      </w:tcPr>
    </w:tblStylePr>
    <w:tblStylePr w:type="band1Horz">
      <w:tblPr/>
      <w:tcPr>
        <w:tcBorders>
          <w:top w:val="nil"/>
          <w:left w:val="nil"/>
          <w:bottom w:val="nil"/>
          <w:right w:val="nil"/>
          <w:insideH w:val="nil"/>
          <w:insideV w:val="nil"/>
        </w:tcBorders>
        <w:shd w:val="clear" w:color="auto" w:fill="004EAD" w:themeFill="text1" w:themeFillShade="BF"/>
      </w:tcPr>
    </w:tblStylePr>
  </w:style>
  <w:style w:type="table" w:styleId="Mrklisteuthevingsfarge1">
    <w:name w:val="Dark List Accent 1"/>
    <w:basedOn w:val="Vanligtabell"/>
    <w:uiPriority w:val="70"/>
    <w:semiHidden/>
    <w:unhideWhenUsed/>
    <w:rsid w:val="00E3133B"/>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styleId="Mrklisteuthevingsfarge2">
    <w:name w:val="Dark List Accent 2"/>
    <w:basedOn w:val="Vanligtabell"/>
    <w:uiPriority w:val="70"/>
    <w:semiHidden/>
    <w:unhideWhenUsed/>
    <w:rsid w:val="00E3133B"/>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styleId="Mrklisteuthevingsfarge3">
    <w:name w:val="Dark List Accent 3"/>
    <w:basedOn w:val="Vanligtabell"/>
    <w:uiPriority w:val="70"/>
    <w:semiHidden/>
    <w:unhideWhenUsed/>
    <w:rsid w:val="00E3133B"/>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styleId="Mrklisteuthevingsfarge4">
    <w:name w:val="Dark List Accent 4"/>
    <w:basedOn w:val="Vanligtabell"/>
    <w:uiPriority w:val="70"/>
    <w:semiHidden/>
    <w:unhideWhenUsed/>
    <w:rsid w:val="00E3133B"/>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Mrklisteuthevingsfarge5">
    <w:name w:val="Dark List Accent 5"/>
    <w:basedOn w:val="Vanligtabell"/>
    <w:uiPriority w:val="70"/>
    <w:semiHidden/>
    <w:unhideWhenUsed/>
    <w:rsid w:val="00E3133B"/>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E3133B"/>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paragraph" w:styleId="NormalWeb">
    <w:name w:val="Normal (Web)"/>
    <w:basedOn w:val="Normal"/>
    <w:uiPriority w:val="99"/>
    <w:unhideWhenUsed/>
    <w:rsid w:val="00E3133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E3133B"/>
  </w:style>
  <w:style w:type="character" w:customStyle="1" w:styleId="NotatoverskriftTegn">
    <w:name w:val="Notatoverskrift Tegn"/>
    <w:basedOn w:val="Standardskriftforavsnitt"/>
    <w:link w:val="Notatoverskrift"/>
    <w:uiPriority w:val="99"/>
    <w:semiHidden/>
    <w:rsid w:val="00E3133B"/>
  </w:style>
  <w:style w:type="paragraph" w:styleId="Nummerertliste">
    <w:name w:val="List Number"/>
    <w:basedOn w:val="Normal"/>
    <w:uiPriority w:val="99"/>
    <w:qFormat/>
    <w:rsid w:val="006919CE"/>
    <w:pPr>
      <w:numPr>
        <w:numId w:val="2"/>
      </w:numPr>
      <w:spacing w:before="60" w:after="60"/>
    </w:pPr>
  </w:style>
  <w:style w:type="paragraph" w:styleId="Nummerertliste2">
    <w:name w:val="List Number 2"/>
    <w:basedOn w:val="Normal"/>
    <w:uiPriority w:val="99"/>
    <w:semiHidden/>
    <w:unhideWhenUsed/>
    <w:rsid w:val="00E3133B"/>
    <w:pPr>
      <w:numPr>
        <w:numId w:val="3"/>
      </w:numPr>
      <w:contextualSpacing/>
    </w:pPr>
  </w:style>
  <w:style w:type="paragraph" w:styleId="Nummerertliste3">
    <w:name w:val="List Number 3"/>
    <w:basedOn w:val="Normal"/>
    <w:uiPriority w:val="99"/>
    <w:semiHidden/>
    <w:unhideWhenUsed/>
    <w:rsid w:val="00E3133B"/>
    <w:pPr>
      <w:numPr>
        <w:numId w:val="4"/>
      </w:numPr>
      <w:contextualSpacing/>
    </w:pPr>
  </w:style>
  <w:style w:type="paragraph" w:styleId="Nummerertliste4">
    <w:name w:val="List Number 4"/>
    <w:basedOn w:val="Normal"/>
    <w:uiPriority w:val="99"/>
    <w:semiHidden/>
    <w:unhideWhenUsed/>
    <w:rsid w:val="00E3133B"/>
    <w:pPr>
      <w:numPr>
        <w:numId w:val="5"/>
      </w:numPr>
      <w:contextualSpacing/>
    </w:pPr>
  </w:style>
  <w:style w:type="paragraph" w:styleId="Nummerertliste5">
    <w:name w:val="List Number 5"/>
    <w:basedOn w:val="Normal"/>
    <w:uiPriority w:val="99"/>
    <w:semiHidden/>
    <w:unhideWhenUsed/>
    <w:rsid w:val="00E3133B"/>
    <w:pPr>
      <w:numPr>
        <w:numId w:val="6"/>
      </w:numPr>
      <w:contextualSpacing/>
    </w:pPr>
  </w:style>
  <w:style w:type="paragraph" w:styleId="Overskriftforinnholdsfortegnelse">
    <w:name w:val="TOC Heading"/>
    <w:basedOn w:val="Overskrift1"/>
    <w:next w:val="Normal"/>
    <w:uiPriority w:val="39"/>
    <w:qFormat/>
    <w:rsid w:val="002C093F"/>
    <w:pPr>
      <w:numPr>
        <w:numId w:val="0"/>
      </w:numPr>
      <w:spacing w:after="840"/>
      <w:outlineLvl w:val="9"/>
    </w:pPr>
    <w:rPr>
      <w:sz w:val="60"/>
    </w:rPr>
  </w:style>
  <w:style w:type="character" w:styleId="Plassholdertekst">
    <w:name w:val="Placeholder Text"/>
    <w:basedOn w:val="Standardskriftforavsnitt"/>
    <w:uiPriority w:val="99"/>
    <w:semiHidden/>
    <w:rsid w:val="00E3133B"/>
    <w:rPr>
      <w:color w:val="808080"/>
    </w:rPr>
  </w:style>
  <w:style w:type="paragraph" w:styleId="Punktliste">
    <w:name w:val="List Bullet"/>
    <w:basedOn w:val="Normal"/>
    <w:uiPriority w:val="99"/>
    <w:qFormat/>
    <w:rsid w:val="006919CE"/>
    <w:pPr>
      <w:numPr>
        <w:numId w:val="7"/>
      </w:numPr>
      <w:spacing w:before="60" w:after="60"/>
    </w:pPr>
  </w:style>
  <w:style w:type="paragraph" w:styleId="Punktliste2">
    <w:name w:val="List Bullet 2"/>
    <w:basedOn w:val="Normal"/>
    <w:uiPriority w:val="99"/>
    <w:semiHidden/>
    <w:unhideWhenUsed/>
    <w:rsid w:val="00E3133B"/>
    <w:pPr>
      <w:numPr>
        <w:numId w:val="8"/>
      </w:numPr>
      <w:contextualSpacing/>
    </w:pPr>
  </w:style>
  <w:style w:type="paragraph" w:styleId="Punktliste3">
    <w:name w:val="List Bullet 3"/>
    <w:basedOn w:val="Normal"/>
    <w:uiPriority w:val="99"/>
    <w:semiHidden/>
    <w:unhideWhenUsed/>
    <w:rsid w:val="00E3133B"/>
    <w:pPr>
      <w:numPr>
        <w:numId w:val="9"/>
      </w:numPr>
      <w:contextualSpacing/>
    </w:pPr>
  </w:style>
  <w:style w:type="paragraph" w:styleId="Punktliste4">
    <w:name w:val="List Bullet 4"/>
    <w:basedOn w:val="Normal"/>
    <w:uiPriority w:val="99"/>
    <w:semiHidden/>
    <w:unhideWhenUsed/>
    <w:rsid w:val="00E3133B"/>
    <w:pPr>
      <w:numPr>
        <w:numId w:val="10"/>
      </w:numPr>
      <w:contextualSpacing/>
    </w:pPr>
  </w:style>
  <w:style w:type="paragraph" w:styleId="Punktliste5">
    <w:name w:val="List Bullet 5"/>
    <w:basedOn w:val="Normal"/>
    <w:uiPriority w:val="99"/>
    <w:semiHidden/>
    <w:unhideWhenUsed/>
    <w:rsid w:val="00E3133B"/>
    <w:pPr>
      <w:numPr>
        <w:numId w:val="11"/>
      </w:numPr>
      <w:contextualSpacing/>
    </w:pPr>
  </w:style>
  <w:style w:type="paragraph" w:styleId="Rentekst">
    <w:name w:val="Plain Text"/>
    <w:basedOn w:val="Normal"/>
    <w:link w:val="RentekstTegn"/>
    <w:uiPriority w:val="99"/>
    <w:semiHidden/>
    <w:unhideWhenUsed/>
    <w:rsid w:val="00E3133B"/>
    <w:rPr>
      <w:rFonts w:ascii="Consolas" w:hAnsi="Consolas" w:cs="Consolas"/>
      <w:sz w:val="21"/>
      <w:szCs w:val="21"/>
    </w:rPr>
  </w:style>
  <w:style w:type="character" w:customStyle="1" w:styleId="RentekstTegn">
    <w:name w:val="Ren tekst Tegn"/>
    <w:basedOn w:val="Standardskriftforavsnitt"/>
    <w:link w:val="Rentekst"/>
    <w:uiPriority w:val="99"/>
    <w:semiHidden/>
    <w:rsid w:val="00E3133B"/>
    <w:rPr>
      <w:rFonts w:ascii="Consolas" w:hAnsi="Consolas" w:cs="Consolas"/>
      <w:sz w:val="21"/>
      <w:szCs w:val="21"/>
    </w:rPr>
  </w:style>
  <w:style w:type="table" w:customStyle="1" w:styleId="Rutenettabell1lysuthevingsfarge21">
    <w:name w:val="Rutenettabell 1 lys – uthevingsfarge 21"/>
    <w:basedOn w:val="Vanligtabell"/>
    <w:uiPriority w:val="46"/>
    <w:rsid w:val="00A74FE1"/>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
    <w:name w:val="Rutenettabell 41"/>
    <w:basedOn w:val="Vanligtabell"/>
    <w:uiPriority w:val="49"/>
    <w:rsid w:val="00E3133B"/>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Rutenettabell6fargerikuthevingsfarge41">
    <w:name w:val="Rutenettabell 6 fargerik – uthevingsfarge 41"/>
    <w:basedOn w:val="Vanligtabell"/>
    <w:uiPriority w:val="51"/>
    <w:rsid w:val="003E6AF5"/>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
    <w:name w:val="Rutenettabell 6 fargerik – uthevingsfarge 51"/>
    <w:basedOn w:val="Vanligtabell"/>
    <w:uiPriority w:val="51"/>
    <w:rsid w:val="00E3133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
    <w:name w:val="Rutenettabell 7 fargerik – uthevingsfarge 41"/>
    <w:basedOn w:val="Vanligtabell"/>
    <w:uiPriority w:val="52"/>
    <w:rsid w:val="009D41BE"/>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069E8"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
    <w:name w:val="Rutenettabell lys1"/>
    <w:basedOn w:val="Vanligtabell"/>
    <w:uiPriority w:val="40"/>
    <w:rsid w:val="0032248C"/>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character" w:styleId="Sidetall">
    <w:name w:val="page number"/>
    <w:basedOn w:val="Standardskriftforavsnitt"/>
    <w:uiPriority w:val="99"/>
    <w:semiHidden/>
    <w:unhideWhenUsed/>
    <w:rsid w:val="00E3133B"/>
  </w:style>
  <w:style w:type="paragraph" w:styleId="Sitat">
    <w:name w:val="Quote"/>
    <w:basedOn w:val="Normal"/>
    <w:next w:val="Normal"/>
    <w:link w:val="SitatTegn"/>
    <w:uiPriority w:val="29"/>
    <w:qFormat/>
    <w:rsid w:val="00745D3E"/>
    <w:pPr>
      <w:spacing w:before="200"/>
      <w:ind w:left="864" w:right="864"/>
      <w:jc w:val="center"/>
    </w:pPr>
    <w:rPr>
      <w:i/>
      <w:iCs/>
    </w:rPr>
  </w:style>
  <w:style w:type="character" w:customStyle="1" w:styleId="SitatTegn">
    <w:name w:val="Sitat Tegn"/>
    <w:basedOn w:val="Standardskriftforavsnitt"/>
    <w:link w:val="Sitat"/>
    <w:uiPriority w:val="29"/>
    <w:rsid w:val="00745D3E"/>
    <w:rPr>
      <w:rFonts w:ascii="Arial" w:hAnsi="Arial"/>
      <w:i/>
      <w:iCs/>
    </w:rPr>
  </w:style>
  <w:style w:type="character" w:styleId="Sluttnotereferanse">
    <w:name w:val="endnote reference"/>
    <w:basedOn w:val="Standardskriftforavsnitt"/>
    <w:uiPriority w:val="99"/>
    <w:semiHidden/>
    <w:unhideWhenUsed/>
    <w:rsid w:val="00E3133B"/>
    <w:rPr>
      <w:vertAlign w:val="superscript"/>
    </w:rPr>
  </w:style>
  <w:style w:type="paragraph" w:styleId="Sluttnotetekst">
    <w:name w:val="endnote text"/>
    <w:basedOn w:val="Normal"/>
    <w:link w:val="SluttnotetekstTegn"/>
    <w:uiPriority w:val="99"/>
    <w:semiHidden/>
    <w:unhideWhenUsed/>
    <w:rsid w:val="00E3133B"/>
    <w:rPr>
      <w:sz w:val="20"/>
      <w:szCs w:val="20"/>
    </w:rPr>
  </w:style>
  <w:style w:type="character" w:customStyle="1" w:styleId="SluttnotetekstTegn">
    <w:name w:val="Sluttnotetekst Tegn"/>
    <w:basedOn w:val="Standardskriftforavsnitt"/>
    <w:link w:val="Sluttnotetekst"/>
    <w:uiPriority w:val="99"/>
    <w:semiHidden/>
    <w:rsid w:val="00E3133B"/>
    <w:rPr>
      <w:sz w:val="20"/>
      <w:szCs w:val="20"/>
    </w:rPr>
  </w:style>
  <w:style w:type="character" w:styleId="Sterk">
    <w:name w:val="Strong"/>
    <w:basedOn w:val="Standardskriftforavsnitt"/>
    <w:uiPriority w:val="22"/>
    <w:qFormat/>
    <w:rsid w:val="00E3133B"/>
    <w:rPr>
      <w:b/>
      <w:bCs/>
    </w:rPr>
  </w:style>
  <w:style w:type="character" w:styleId="Sterkreferanse">
    <w:name w:val="Intense Reference"/>
    <w:basedOn w:val="Standardskriftforavsnitt"/>
    <w:uiPriority w:val="32"/>
    <w:qFormat/>
    <w:rsid w:val="00745D3E"/>
    <w:rPr>
      <w:b/>
      <w:bCs/>
      <w:smallCaps/>
      <w:color w:val="auto"/>
      <w:spacing w:val="5"/>
    </w:rPr>
  </w:style>
  <w:style w:type="character" w:styleId="Sterkutheving">
    <w:name w:val="Intense Emphasis"/>
    <w:basedOn w:val="Standardskriftforavsnitt"/>
    <w:uiPriority w:val="21"/>
    <w:qFormat/>
    <w:rsid w:val="00745D3E"/>
    <w:rPr>
      <w:i/>
      <w:iCs/>
      <w:color w:val="auto"/>
    </w:rPr>
  </w:style>
  <w:style w:type="paragraph" w:styleId="Sterktsitat">
    <w:name w:val="Intense Quote"/>
    <w:basedOn w:val="Normal"/>
    <w:next w:val="Normal"/>
    <w:link w:val="SterktsitatTegn"/>
    <w:uiPriority w:val="30"/>
    <w:qFormat/>
    <w:rsid w:val="00745D3E"/>
    <w:pPr>
      <w:pBdr>
        <w:top w:val="single" w:sz="4" w:space="10" w:color="0069E8" w:themeColor="text1"/>
        <w:bottom w:val="single" w:sz="4" w:space="10" w:color="0069E8" w:themeColor="text1"/>
      </w:pBdr>
      <w:spacing w:before="360" w:after="360"/>
      <w:ind w:left="864" w:right="864"/>
      <w:jc w:val="center"/>
    </w:pPr>
    <w:rPr>
      <w:i/>
      <w:iCs/>
      <w:color w:val="000000" w:themeColor="accent4"/>
    </w:rPr>
  </w:style>
  <w:style w:type="character" w:customStyle="1" w:styleId="SterktsitatTegn">
    <w:name w:val="Sterkt sitat Tegn"/>
    <w:basedOn w:val="Standardskriftforavsnitt"/>
    <w:link w:val="Sterktsitat"/>
    <w:uiPriority w:val="30"/>
    <w:rsid w:val="00745D3E"/>
    <w:rPr>
      <w:rFonts w:ascii="Arial" w:hAnsi="Arial"/>
      <w:i/>
      <w:iCs/>
      <w:color w:val="000000" w:themeColor="accent4"/>
    </w:rPr>
  </w:style>
  <w:style w:type="paragraph" w:styleId="Stikkordregisteroverskrift">
    <w:name w:val="index heading"/>
    <w:basedOn w:val="Normal"/>
    <w:next w:val="Indeks1"/>
    <w:uiPriority w:val="99"/>
    <w:semiHidden/>
    <w:unhideWhenUsed/>
    <w:rsid w:val="00E3133B"/>
    <w:rPr>
      <w:rFonts w:asciiTheme="majorHAnsi" w:eastAsiaTheme="majorEastAsia" w:hAnsiTheme="majorHAnsi" w:cstheme="majorBidi"/>
      <w:b/>
      <w:bCs/>
    </w:rPr>
  </w:style>
  <w:style w:type="character" w:styleId="Svakreferanse">
    <w:name w:val="Subtle Reference"/>
    <w:basedOn w:val="Standardskriftforavsnitt"/>
    <w:uiPriority w:val="31"/>
    <w:qFormat/>
    <w:rsid w:val="00745D3E"/>
    <w:rPr>
      <w:smallCaps/>
      <w:color w:val="auto"/>
    </w:rPr>
  </w:style>
  <w:style w:type="character" w:styleId="Svakutheving">
    <w:name w:val="Subtle Emphasis"/>
    <w:basedOn w:val="Standardskriftforavsnitt"/>
    <w:uiPriority w:val="19"/>
    <w:qFormat/>
    <w:rsid w:val="00745D3E"/>
    <w:rPr>
      <w:i/>
      <w:iCs/>
      <w:color w:val="auto"/>
    </w:rPr>
  </w:style>
  <w:style w:type="table" w:styleId="Tabell-3D-effekt1">
    <w:name w:val="Table 3D effects 1"/>
    <w:basedOn w:val="Vanligtabell"/>
    <w:uiPriority w:val="99"/>
    <w:semiHidden/>
    <w:unhideWhenUsed/>
    <w:rsid w:val="00E31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E31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E31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E31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E31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E31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E31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E31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E31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E31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E31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E31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E31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E31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E31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E31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E31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E31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E31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E31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E31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E31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E31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E31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E31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E31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E31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E31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E31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4E4D34"/>
    <w:pPr>
      <w:spacing w:after="40"/>
      <w:contextualSpacing/>
    </w:pPr>
    <w:rPr>
      <w:rFonts w:asciiTheme="majorHAnsi" w:eastAsiaTheme="majorEastAsia" w:hAnsiTheme="majorHAnsi" w:cstheme="majorBidi"/>
      <w:b/>
      <w:color w:val="FFFFFF"/>
      <w:kern w:val="28"/>
      <w:sz w:val="56"/>
      <w:szCs w:val="56"/>
    </w:rPr>
  </w:style>
  <w:style w:type="character" w:customStyle="1" w:styleId="TittelTegn">
    <w:name w:val="Tittel Tegn"/>
    <w:basedOn w:val="Standardskriftforavsnitt"/>
    <w:link w:val="Tittel"/>
    <w:uiPriority w:val="10"/>
    <w:rsid w:val="004E4D34"/>
    <w:rPr>
      <w:rFonts w:asciiTheme="majorHAnsi" w:eastAsiaTheme="majorEastAsia" w:hAnsiTheme="majorHAnsi" w:cstheme="majorBidi"/>
      <w:b/>
      <w:color w:val="FFFFFF"/>
      <w:kern w:val="28"/>
      <w:sz w:val="56"/>
      <w:szCs w:val="56"/>
    </w:rPr>
  </w:style>
  <w:style w:type="paragraph" w:styleId="Topptekst">
    <w:name w:val="header"/>
    <w:basedOn w:val="Normal"/>
    <w:link w:val="TopptekstTegn"/>
    <w:uiPriority w:val="99"/>
    <w:rsid w:val="00C426A8"/>
    <w:pPr>
      <w:tabs>
        <w:tab w:val="center" w:pos="4513"/>
        <w:tab w:val="right" w:pos="9026"/>
      </w:tabs>
    </w:pPr>
    <w:rPr>
      <w:color w:val="787878"/>
    </w:rPr>
  </w:style>
  <w:style w:type="character" w:customStyle="1" w:styleId="TopptekstTegn">
    <w:name w:val="Topptekst Tegn"/>
    <w:basedOn w:val="Standardskriftforavsnitt"/>
    <w:link w:val="Topptekst"/>
    <w:uiPriority w:val="99"/>
    <w:rsid w:val="00C426A8"/>
    <w:rPr>
      <w:rFonts w:ascii="Arial" w:hAnsi="Arial"/>
      <w:color w:val="787878"/>
    </w:rPr>
  </w:style>
  <w:style w:type="paragraph" w:styleId="Underskrift">
    <w:name w:val="Signature"/>
    <w:basedOn w:val="Normal"/>
    <w:link w:val="UnderskriftTegn"/>
    <w:uiPriority w:val="99"/>
    <w:semiHidden/>
    <w:unhideWhenUsed/>
    <w:rsid w:val="00E3133B"/>
    <w:pPr>
      <w:ind w:left="4252"/>
    </w:pPr>
  </w:style>
  <w:style w:type="character" w:customStyle="1" w:styleId="UnderskriftTegn">
    <w:name w:val="Underskrift Tegn"/>
    <w:basedOn w:val="Standardskriftforavsnitt"/>
    <w:link w:val="Underskrift"/>
    <w:uiPriority w:val="99"/>
    <w:semiHidden/>
    <w:rsid w:val="00E3133B"/>
  </w:style>
  <w:style w:type="paragraph" w:styleId="Undertittel">
    <w:name w:val="Subtitle"/>
    <w:aliases w:val="Undertittel forside"/>
    <w:basedOn w:val="Normal"/>
    <w:next w:val="Normal"/>
    <w:link w:val="UndertittelTegn"/>
    <w:uiPriority w:val="11"/>
    <w:qFormat/>
    <w:rsid w:val="001A087D"/>
    <w:pPr>
      <w:numPr>
        <w:ilvl w:val="1"/>
      </w:numPr>
      <w:spacing w:before="80" w:after="80"/>
      <w:ind w:left="851" w:hanging="851"/>
    </w:pPr>
    <w:rPr>
      <w:rFonts w:eastAsiaTheme="minorEastAsia"/>
      <w:color w:val="FFFFFF"/>
      <w:sz w:val="40"/>
    </w:rPr>
  </w:style>
  <w:style w:type="character" w:customStyle="1" w:styleId="UndertittelTegn">
    <w:name w:val="Undertittel Tegn"/>
    <w:aliases w:val="Undertittel forside Tegn"/>
    <w:basedOn w:val="Standardskriftforavsnitt"/>
    <w:link w:val="Undertittel"/>
    <w:uiPriority w:val="11"/>
    <w:rsid w:val="001A087D"/>
    <w:rPr>
      <w:rFonts w:ascii="Arial" w:eastAsiaTheme="minorEastAsia" w:hAnsi="Arial"/>
      <w:color w:val="FFFFFF"/>
      <w:sz w:val="40"/>
    </w:rPr>
  </w:style>
  <w:style w:type="character" w:styleId="Utheving">
    <w:name w:val="Emphasis"/>
    <w:basedOn w:val="Standardskriftforavsnitt"/>
    <w:uiPriority w:val="20"/>
    <w:qFormat/>
    <w:rsid w:val="00E3133B"/>
    <w:rPr>
      <w:i/>
      <w:iCs/>
    </w:rPr>
  </w:style>
  <w:style w:type="paragraph" w:styleId="Vanliginnrykk">
    <w:name w:val="Normal Indent"/>
    <w:basedOn w:val="Normal"/>
    <w:uiPriority w:val="99"/>
    <w:semiHidden/>
    <w:unhideWhenUsed/>
    <w:rsid w:val="00E3133B"/>
    <w:pPr>
      <w:ind w:left="708"/>
    </w:pPr>
  </w:style>
  <w:style w:type="table" w:customStyle="1" w:styleId="Vanligtabell11">
    <w:name w:val="Vanlig tabell 11"/>
    <w:basedOn w:val="Vanligtabell"/>
    <w:uiPriority w:val="41"/>
    <w:rsid w:val="00A74FE1"/>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069E8"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
    <w:name w:val="Vanlig tabell 41"/>
    <w:basedOn w:val="Vanligtabell"/>
    <w:uiPriority w:val="44"/>
    <w:rsid w:val="00790A3A"/>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069E8" w:themeColor="text1"/>
          <w:left w:val="single" w:sz="8" w:space="0" w:color="B3B3B3" w:themeColor="background1" w:themeShade="BF"/>
          <w:bottom w:val="single" w:sz="12" w:space="0" w:color="0069E8"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069E8"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paragraph" w:customStyle="1" w:styleId="Infotekst">
    <w:name w:val="Infotekst"/>
    <w:link w:val="InfotekstTegn"/>
    <w:qFormat/>
    <w:rsid w:val="003B29DE"/>
    <w:pPr>
      <w:framePr w:hSpace="141" w:wrap="around" w:vAnchor="text" w:hAnchor="text" w:y="1"/>
      <w:spacing w:line="288" w:lineRule="auto"/>
      <w:suppressOverlap/>
    </w:pPr>
    <w:rPr>
      <w:rFonts w:ascii="Arial" w:hAnsi="Arial"/>
      <w:szCs w:val="16"/>
    </w:rPr>
  </w:style>
  <w:style w:type="character" w:customStyle="1" w:styleId="InfotekstTegn">
    <w:name w:val="Infotekst Tegn"/>
    <w:basedOn w:val="Standardskriftforavsnitt"/>
    <w:link w:val="Infotekst"/>
    <w:rsid w:val="003B29DE"/>
    <w:rPr>
      <w:rFonts w:ascii="Arial" w:hAnsi="Arial"/>
      <w:szCs w:val="16"/>
    </w:rPr>
  </w:style>
  <w:style w:type="paragraph" w:customStyle="1" w:styleId="Ingress">
    <w:name w:val="Ingress"/>
    <w:basedOn w:val="Normal"/>
    <w:next w:val="Normal"/>
    <w:link w:val="IngressTegn"/>
    <w:qFormat/>
    <w:rsid w:val="00E843C9"/>
    <w:pPr>
      <w:spacing w:after="120"/>
    </w:pPr>
    <w:rPr>
      <w:rFonts w:asciiTheme="majorHAnsi" w:eastAsiaTheme="majorEastAsia" w:hAnsiTheme="majorHAnsi" w:cstheme="majorBidi"/>
      <w:color w:val="000000" w:themeColor="accent4"/>
      <w:sz w:val="28"/>
      <w:szCs w:val="26"/>
    </w:rPr>
  </w:style>
  <w:style w:type="character" w:customStyle="1" w:styleId="IngressTegn">
    <w:name w:val="Ingress Tegn"/>
    <w:basedOn w:val="Overskrift2Tegn"/>
    <w:link w:val="Ingress"/>
    <w:rsid w:val="00E843C9"/>
    <w:rPr>
      <w:rFonts w:asciiTheme="majorHAnsi" w:eastAsiaTheme="majorEastAsia" w:hAnsiTheme="majorHAnsi" w:cstheme="majorBidi"/>
      <w:b/>
      <w:color w:val="000000" w:themeColor="accent4"/>
      <w:sz w:val="28"/>
      <w:szCs w:val="26"/>
    </w:rPr>
  </w:style>
  <w:style w:type="paragraph" w:customStyle="1" w:styleId="Kapitteltittel">
    <w:name w:val="Kapitteltittel"/>
    <w:basedOn w:val="Normal"/>
    <w:next w:val="Normal"/>
    <w:link w:val="KapitteltittelTegn"/>
    <w:autoRedefine/>
    <w:qFormat/>
    <w:rsid w:val="00BC74AB"/>
    <w:pPr>
      <w:spacing w:before="720" w:after="720"/>
      <w:contextualSpacing/>
    </w:pPr>
    <w:rPr>
      <w:b/>
      <w:noProof/>
      <w:color w:val="0069E8" w:themeColor="text1"/>
      <w:sz w:val="48"/>
      <w:szCs w:val="72"/>
      <w:lang w:eastAsia="nb-NO"/>
    </w:rPr>
  </w:style>
  <w:style w:type="character" w:customStyle="1" w:styleId="KapitteltittelTegn">
    <w:name w:val="Kapitteltittel Tegn"/>
    <w:basedOn w:val="Standardskriftforavsnitt"/>
    <w:link w:val="Kapitteltittel"/>
    <w:rsid w:val="00BC74AB"/>
    <w:rPr>
      <w:rFonts w:ascii="Arial" w:hAnsi="Arial"/>
      <w:b/>
      <w:noProof/>
      <w:color w:val="0069E8" w:themeColor="text1"/>
      <w:sz w:val="48"/>
      <w:szCs w:val="72"/>
      <w:lang w:eastAsia="nb-NO"/>
    </w:rPr>
  </w:style>
  <w:style w:type="numbering" w:customStyle="1" w:styleId="Liste-flerenivehelse">
    <w:name w:val="Liste - flere nivå ehelse"/>
    <w:uiPriority w:val="99"/>
    <w:rsid w:val="00D032D9"/>
    <w:pPr>
      <w:numPr>
        <w:numId w:val="14"/>
      </w:numPr>
    </w:pPr>
  </w:style>
  <w:style w:type="paragraph" w:customStyle="1" w:styleId="Default">
    <w:name w:val="Default"/>
    <w:rsid w:val="000A31F5"/>
    <w:pPr>
      <w:autoSpaceDE w:val="0"/>
      <w:autoSpaceDN w:val="0"/>
      <w:adjustRightInd w:val="0"/>
    </w:pPr>
    <w:rPr>
      <w:rFonts w:ascii="Arial" w:hAnsi="Arial" w:cs="Arial"/>
      <w:color w:val="000000"/>
      <w:sz w:val="24"/>
      <w:szCs w:val="24"/>
    </w:rPr>
  </w:style>
  <w:style w:type="character" w:customStyle="1" w:styleId="IngenmellomromTegn">
    <w:name w:val="Ingen mellomrom Tegn"/>
    <w:aliases w:val="Tabellinnhold Tegn"/>
    <w:basedOn w:val="Standardskriftforavsnitt"/>
    <w:link w:val="Ingenmellomrom"/>
    <w:uiPriority w:val="1"/>
    <w:rsid w:val="00A57774"/>
  </w:style>
  <w:style w:type="paragraph" w:customStyle="1" w:styleId="Rapportnummer">
    <w:name w:val="Rapportnummer"/>
    <w:basedOn w:val="Normal"/>
    <w:link w:val="RapportnummerTegn"/>
    <w:rsid w:val="00FE7E57"/>
    <w:pPr>
      <w:spacing w:before="240"/>
    </w:pPr>
    <w:rPr>
      <w:b/>
      <w:color w:val="FFFFFF"/>
      <w:sz w:val="28"/>
    </w:rPr>
  </w:style>
  <w:style w:type="character" w:customStyle="1" w:styleId="RapportnummerTegn">
    <w:name w:val="Rapportnummer Tegn"/>
    <w:basedOn w:val="Standardskriftforavsnitt"/>
    <w:link w:val="Rapportnummer"/>
    <w:rsid w:val="00FE7E57"/>
    <w:rPr>
      <w:rFonts w:ascii="Arial" w:hAnsi="Arial"/>
      <w:b/>
      <w:color w:val="FFFFFF"/>
      <w:sz w:val="28"/>
    </w:rPr>
  </w:style>
  <w:style w:type="paragraph" w:customStyle="1" w:styleId="Overtittelforside">
    <w:name w:val="Overtittel forside"/>
    <w:basedOn w:val="Undertittel"/>
    <w:link w:val="OvertittelforsideTegn"/>
    <w:qFormat/>
    <w:rsid w:val="0044529E"/>
  </w:style>
  <w:style w:type="character" w:customStyle="1" w:styleId="OvertittelforsideTegn">
    <w:name w:val="Overtittel forside Tegn"/>
    <w:basedOn w:val="UndertittelTegn"/>
    <w:link w:val="Overtittelforside"/>
    <w:rsid w:val="0044529E"/>
    <w:rPr>
      <w:rFonts w:ascii="Arial" w:eastAsiaTheme="minorEastAsia" w:hAnsi="Arial"/>
      <w:color w:val="FFFFFF"/>
      <w:sz w:val="40"/>
    </w:rPr>
  </w:style>
  <w:style w:type="paragraph" w:customStyle="1" w:styleId="Stil1">
    <w:name w:val="Stil1"/>
    <w:basedOn w:val="Brdtekst"/>
    <w:rsid w:val="00E843C9"/>
  </w:style>
  <w:style w:type="table" w:customStyle="1" w:styleId="Stripeteliste">
    <w:name w:val="Stripete liste"/>
    <w:basedOn w:val="Listetabell1lysuthevingsfarge41"/>
    <w:uiPriority w:val="99"/>
    <w:rsid w:val="00381614"/>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069E8" w:themeColor="text1"/>
          <w:left w:val="nil"/>
          <w:bottom w:val="single" w:sz="12" w:space="0" w:color="0069E8" w:themeColor="text1"/>
          <w:right w:val="nil"/>
          <w:insideH w:val="nil"/>
          <w:insideV w:val="nil"/>
          <w:tl2br w:val="nil"/>
          <w:tr2bl w:val="nil"/>
        </w:tcBorders>
        <w:shd w:val="clear" w:color="auto" w:fill="0069E8"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paragraph" w:customStyle="1" w:styleId="Mottakerinfo">
    <w:name w:val="Mottakerinfo"/>
    <w:basedOn w:val="Normal"/>
    <w:next w:val="Normal"/>
    <w:link w:val="MottakerinfoTegn"/>
    <w:qFormat/>
    <w:rsid w:val="00381614"/>
    <w:pPr>
      <w:tabs>
        <w:tab w:val="clear" w:pos="357"/>
      </w:tabs>
      <w:spacing w:before="120" w:after="40" w:line="240" w:lineRule="auto"/>
    </w:pPr>
    <w:rPr>
      <w:rFonts w:asciiTheme="minorHAnsi" w:hAnsiTheme="minorHAnsi"/>
      <w:color w:val="3C3C3C" w:themeColor="background1" w:themeShade="40"/>
    </w:rPr>
  </w:style>
  <w:style w:type="character" w:customStyle="1" w:styleId="MottakerinfoTegn">
    <w:name w:val="Mottakerinfo Tegn"/>
    <w:basedOn w:val="Standardskriftforavsnitt"/>
    <w:link w:val="Mottakerinfo"/>
    <w:rsid w:val="00381614"/>
    <w:rPr>
      <w:color w:val="3C3C3C" w:themeColor="background1" w:themeShade="40"/>
    </w:rPr>
  </w:style>
  <w:style w:type="character" w:styleId="Ulstomtale">
    <w:name w:val="Unresolved Mention"/>
    <w:basedOn w:val="Standardskriftforavsnitt"/>
    <w:uiPriority w:val="99"/>
    <w:semiHidden/>
    <w:unhideWhenUsed/>
    <w:rsid w:val="00CF68DF"/>
    <w:rPr>
      <w:color w:val="605E5C"/>
      <w:shd w:val="clear" w:color="auto" w:fill="E1DFDD"/>
    </w:rPr>
  </w:style>
  <w:style w:type="paragraph" w:styleId="Revisjon">
    <w:name w:val="Revision"/>
    <w:hidden/>
    <w:uiPriority w:val="99"/>
    <w:semiHidden/>
    <w:rsid w:val="001C6BEF"/>
    <w:rPr>
      <w:rFonts w:ascii="Arial" w:hAnsi="Arial"/>
    </w:rPr>
  </w:style>
  <w:style w:type="character" w:styleId="Omtale">
    <w:name w:val="Mention"/>
    <w:basedOn w:val="Standardskriftforavsnitt"/>
    <w:uiPriority w:val="99"/>
    <w:unhideWhenUsed/>
    <w:rsid w:val="004459AC"/>
    <w:rPr>
      <w:color w:val="2B579A"/>
      <w:shd w:val="clear" w:color="auto" w:fill="E1DFDD"/>
    </w:rPr>
  </w:style>
  <w:style w:type="table" w:styleId="Rutenettabell4uthevingsfarge5">
    <w:name w:val="Grid Table 4 Accent 5"/>
    <w:basedOn w:val="Vanligtabell"/>
    <w:uiPriority w:val="49"/>
    <w:rsid w:val="00F2190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2">
    <w:name w:val="Grid Table 4 Accent 2"/>
    <w:basedOn w:val="Vanligtabell"/>
    <w:uiPriority w:val="49"/>
    <w:rsid w:val="0044555B"/>
    <w:tblPr>
      <w:tblStyleRowBandSize w:val="1"/>
      <w:tblStyleColBandSize w:val="1"/>
      <w:tblBorders>
        <w:top w:val="single" w:sz="4" w:space="0" w:color="58A3FF" w:themeColor="accent2" w:themeTint="99"/>
        <w:left w:val="single" w:sz="4" w:space="0" w:color="58A3FF" w:themeColor="accent2" w:themeTint="99"/>
        <w:bottom w:val="single" w:sz="4" w:space="0" w:color="58A3FF" w:themeColor="accent2" w:themeTint="99"/>
        <w:right w:val="single" w:sz="4" w:space="0" w:color="58A3FF" w:themeColor="accent2" w:themeTint="99"/>
        <w:insideH w:val="single" w:sz="4" w:space="0" w:color="58A3FF" w:themeColor="accent2" w:themeTint="99"/>
        <w:insideV w:val="single" w:sz="4" w:space="0" w:color="58A3FF" w:themeColor="accent2" w:themeTint="99"/>
      </w:tblBorders>
    </w:tblPr>
    <w:tblStylePr w:type="firstRow">
      <w:rPr>
        <w:b/>
        <w:bCs/>
        <w:color w:val="F0F0F0" w:themeColor="background1"/>
      </w:rPr>
      <w:tblPr/>
      <w:tcPr>
        <w:tcBorders>
          <w:top w:val="single" w:sz="4" w:space="0" w:color="0069E8" w:themeColor="accent2"/>
          <w:left w:val="single" w:sz="4" w:space="0" w:color="0069E8" w:themeColor="accent2"/>
          <w:bottom w:val="single" w:sz="4" w:space="0" w:color="0069E8" w:themeColor="accent2"/>
          <w:right w:val="single" w:sz="4" w:space="0" w:color="0069E8" w:themeColor="accent2"/>
          <w:insideH w:val="nil"/>
          <w:insideV w:val="nil"/>
        </w:tcBorders>
        <w:shd w:val="clear" w:color="auto" w:fill="0069E8" w:themeFill="accent2"/>
      </w:tcPr>
    </w:tblStylePr>
    <w:tblStylePr w:type="lastRow">
      <w:rPr>
        <w:b/>
        <w:bCs/>
      </w:rPr>
      <w:tblPr/>
      <w:tcPr>
        <w:tcBorders>
          <w:top w:val="double" w:sz="4" w:space="0" w:color="0069E8" w:themeColor="accent2"/>
        </w:tcBorders>
      </w:tcPr>
    </w:tblStylePr>
    <w:tblStylePr w:type="firstCol">
      <w:rPr>
        <w:b/>
        <w:bCs/>
      </w:rPr>
    </w:tblStylePr>
    <w:tblStylePr w:type="lastCol">
      <w:rPr>
        <w:b/>
        <w:bCs/>
      </w:rPr>
    </w:tblStylePr>
    <w:tblStylePr w:type="band1Vert">
      <w:tblPr/>
      <w:tcPr>
        <w:shd w:val="clear" w:color="auto" w:fill="C7E0FF" w:themeFill="accent2" w:themeFillTint="33"/>
      </w:tcPr>
    </w:tblStylePr>
    <w:tblStylePr w:type="band1Horz">
      <w:tblPr/>
      <w:tcPr>
        <w:shd w:val="clear" w:color="auto" w:fill="C7E0FF" w:themeFill="accent2" w:themeFillTint="33"/>
      </w:tcPr>
    </w:tblStylePr>
  </w:style>
  <w:style w:type="table" w:styleId="Rutenettabell3uthevingsfarge5">
    <w:name w:val="Grid Table 3 Accent 5"/>
    <w:basedOn w:val="Vanligtabell"/>
    <w:uiPriority w:val="48"/>
    <w:rsid w:val="004471D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4">
    <w:name w:val="Grid Table 4"/>
    <w:basedOn w:val="Vanligtabell"/>
    <w:uiPriority w:val="49"/>
    <w:rsid w:val="002D4AD3"/>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styleId="Rutenettabell4uthevingsfarge1">
    <w:name w:val="Grid Table 4 Accent 1"/>
    <w:basedOn w:val="Vanligtabell"/>
    <w:uiPriority w:val="49"/>
    <w:rsid w:val="00C1130C"/>
    <w:tblPr>
      <w:tblStyleRowBandSize w:val="1"/>
      <w:tblStyleColBandSize w:val="1"/>
      <w:tblBorders>
        <w:top w:val="single" w:sz="4" w:space="0" w:color="2BD5FA" w:themeColor="accent1" w:themeTint="99"/>
        <w:left w:val="single" w:sz="4" w:space="0" w:color="2BD5FA" w:themeColor="accent1" w:themeTint="99"/>
        <w:bottom w:val="single" w:sz="4" w:space="0" w:color="2BD5FA" w:themeColor="accent1" w:themeTint="99"/>
        <w:right w:val="single" w:sz="4" w:space="0" w:color="2BD5FA" w:themeColor="accent1" w:themeTint="99"/>
        <w:insideH w:val="single" w:sz="4" w:space="0" w:color="2BD5FA" w:themeColor="accent1" w:themeTint="99"/>
        <w:insideV w:val="single" w:sz="4" w:space="0" w:color="2BD5FA" w:themeColor="accent1" w:themeTint="99"/>
      </w:tblBorders>
    </w:tblPr>
    <w:tblStylePr w:type="firstRow">
      <w:rPr>
        <w:b/>
        <w:bCs/>
        <w:color w:val="F0F0F0" w:themeColor="background1"/>
      </w:rPr>
      <w:tblPr/>
      <w:tcPr>
        <w:tcBorders>
          <w:top w:val="single" w:sz="4" w:space="0" w:color="037A94" w:themeColor="accent1"/>
          <w:left w:val="single" w:sz="4" w:space="0" w:color="037A94" w:themeColor="accent1"/>
          <w:bottom w:val="single" w:sz="4" w:space="0" w:color="037A94" w:themeColor="accent1"/>
          <w:right w:val="single" w:sz="4" w:space="0" w:color="037A94" w:themeColor="accent1"/>
          <w:insideH w:val="nil"/>
          <w:insideV w:val="nil"/>
        </w:tcBorders>
        <w:shd w:val="clear" w:color="auto" w:fill="037A94" w:themeFill="accent1"/>
      </w:tcPr>
    </w:tblStylePr>
    <w:tblStylePr w:type="lastRow">
      <w:rPr>
        <w:b/>
        <w:bCs/>
      </w:rPr>
      <w:tblPr/>
      <w:tcPr>
        <w:tcBorders>
          <w:top w:val="double" w:sz="4" w:space="0" w:color="037A94" w:themeColor="accent1"/>
        </w:tcBorders>
      </w:tcPr>
    </w:tblStylePr>
    <w:tblStylePr w:type="firstCol">
      <w:rPr>
        <w:b/>
        <w:bCs/>
      </w:rPr>
    </w:tblStylePr>
    <w:tblStylePr w:type="lastCol">
      <w:rPr>
        <w:b/>
        <w:bCs/>
      </w:rPr>
    </w:tblStylePr>
    <w:tblStylePr w:type="band1Vert">
      <w:tblPr/>
      <w:tcPr>
        <w:shd w:val="clear" w:color="auto" w:fill="B8F1FD" w:themeFill="accent1" w:themeFillTint="33"/>
      </w:tcPr>
    </w:tblStylePr>
    <w:tblStylePr w:type="band1Horz">
      <w:tblPr/>
      <w:tcPr>
        <w:shd w:val="clear" w:color="auto" w:fill="B8F1F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785">
      <w:bodyDiv w:val="1"/>
      <w:marLeft w:val="0"/>
      <w:marRight w:val="0"/>
      <w:marTop w:val="0"/>
      <w:marBottom w:val="0"/>
      <w:divBdr>
        <w:top w:val="none" w:sz="0" w:space="0" w:color="auto"/>
        <w:left w:val="none" w:sz="0" w:space="0" w:color="auto"/>
        <w:bottom w:val="none" w:sz="0" w:space="0" w:color="auto"/>
        <w:right w:val="none" w:sz="0" w:space="0" w:color="auto"/>
      </w:divBdr>
    </w:div>
    <w:div w:id="18707577">
      <w:bodyDiv w:val="1"/>
      <w:marLeft w:val="0"/>
      <w:marRight w:val="0"/>
      <w:marTop w:val="0"/>
      <w:marBottom w:val="0"/>
      <w:divBdr>
        <w:top w:val="none" w:sz="0" w:space="0" w:color="auto"/>
        <w:left w:val="none" w:sz="0" w:space="0" w:color="auto"/>
        <w:bottom w:val="none" w:sz="0" w:space="0" w:color="auto"/>
        <w:right w:val="none" w:sz="0" w:space="0" w:color="auto"/>
      </w:divBdr>
    </w:div>
    <w:div w:id="66924844">
      <w:bodyDiv w:val="1"/>
      <w:marLeft w:val="0"/>
      <w:marRight w:val="0"/>
      <w:marTop w:val="0"/>
      <w:marBottom w:val="0"/>
      <w:divBdr>
        <w:top w:val="none" w:sz="0" w:space="0" w:color="auto"/>
        <w:left w:val="none" w:sz="0" w:space="0" w:color="auto"/>
        <w:bottom w:val="none" w:sz="0" w:space="0" w:color="auto"/>
        <w:right w:val="none" w:sz="0" w:space="0" w:color="auto"/>
      </w:divBdr>
    </w:div>
    <w:div w:id="70273292">
      <w:bodyDiv w:val="1"/>
      <w:marLeft w:val="0"/>
      <w:marRight w:val="0"/>
      <w:marTop w:val="0"/>
      <w:marBottom w:val="0"/>
      <w:divBdr>
        <w:top w:val="none" w:sz="0" w:space="0" w:color="auto"/>
        <w:left w:val="none" w:sz="0" w:space="0" w:color="auto"/>
        <w:bottom w:val="none" w:sz="0" w:space="0" w:color="auto"/>
        <w:right w:val="none" w:sz="0" w:space="0" w:color="auto"/>
      </w:divBdr>
    </w:div>
    <w:div w:id="81463242">
      <w:bodyDiv w:val="1"/>
      <w:marLeft w:val="0"/>
      <w:marRight w:val="0"/>
      <w:marTop w:val="0"/>
      <w:marBottom w:val="0"/>
      <w:divBdr>
        <w:top w:val="none" w:sz="0" w:space="0" w:color="auto"/>
        <w:left w:val="none" w:sz="0" w:space="0" w:color="auto"/>
        <w:bottom w:val="none" w:sz="0" w:space="0" w:color="auto"/>
        <w:right w:val="none" w:sz="0" w:space="0" w:color="auto"/>
      </w:divBdr>
    </w:div>
    <w:div w:id="109446300">
      <w:bodyDiv w:val="1"/>
      <w:marLeft w:val="0"/>
      <w:marRight w:val="0"/>
      <w:marTop w:val="0"/>
      <w:marBottom w:val="0"/>
      <w:divBdr>
        <w:top w:val="none" w:sz="0" w:space="0" w:color="auto"/>
        <w:left w:val="none" w:sz="0" w:space="0" w:color="auto"/>
        <w:bottom w:val="none" w:sz="0" w:space="0" w:color="auto"/>
        <w:right w:val="none" w:sz="0" w:space="0" w:color="auto"/>
      </w:divBdr>
    </w:div>
    <w:div w:id="144902160">
      <w:bodyDiv w:val="1"/>
      <w:marLeft w:val="0"/>
      <w:marRight w:val="0"/>
      <w:marTop w:val="0"/>
      <w:marBottom w:val="0"/>
      <w:divBdr>
        <w:top w:val="none" w:sz="0" w:space="0" w:color="auto"/>
        <w:left w:val="none" w:sz="0" w:space="0" w:color="auto"/>
        <w:bottom w:val="none" w:sz="0" w:space="0" w:color="auto"/>
        <w:right w:val="none" w:sz="0" w:space="0" w:color="auto"/>
      </w:divBdr>
    </w:div>
    <w:div w:id="165629742">
      <w:bodyDiv w:val="1"/>
      <w:marLeft w:val="0"/>
      <w:marRight w:val="0"/>
      <w:marTop w:val="0"/>
      <w:marBottom w:val="0"/>
      <w:divBdr>
        <w:top w:val="none" w:sz="0" w:space="0" w:color="auto"/>
        <w:left w:val="none" w:sz="0" w:space="0" w:color="auto"/>
        <w:bottom w:val="none" w:sz="0" w:space="0" w:color="auto"/>
        <w:right w:val="none" w:sz="0" w:space="0" w:color="auto"/>
      </w:divBdr>
    </w:div>
    <w:div w:id="165947900">
      <w:bodyDiv w:val="1"/>
      <w:marLeft w:val="0"/>
      <w:marRight w:val="0"/>
      <w:marTop w:val="0"/>
      <w:marBottom w:val="0"/>
      <w:divBdr>
        <w:top w:val="none" w:sz="0" w:space="0" w:color="auto"/>
        <w:left w:val="none" w:sz="0" w:space="0" w:color="auto"/>
        <w:bottom w:val="none" w:sz="0" w:space="0" w:color="auto"/>
        <w:right w:val="none" w:sz="0" w:space="0" w:color="auto"/>
      </w:divBdr>
    </w:div>
    <w:div w:id="169294537">
      <w:bodyDiv w:val="1"/>
      <w:marLeft w:val="0"/>
      <w:marRight w:val="0"/>
      <w:marTop w:val="0"/>
      <w:marBottom w:val="0"/>
      <w:divBdr>
        <w:top w:val="none" w:sz="0" w:space="0" w:color="auto"/>
        <w:left w:val="none" w:sz="0" w:space="0" w:color="auto"/>
        <w:bottom w:val="none" w:sz="0" w:space="0" w:color="auto"/>
        <w:right w:val="none" w:sz="0" w:space="0" w:color="auto"/>
      </w:divBdr>
    </w:div>
    <w:div w:id="184565278">
      <w:bodyDiv w:val="1"/>
      <w:marLeft w:val="0"/>
      <w:marRight w:val="0"/>
      <w:marTop w:val="0"/>
      <w:marBottom w:val="0"/>
      <w:divBdr>
        <w:top w:val="none" w:sz="0" w:space="0" w:color="auto"/>
        <w:left w:val="none" w:sz="0" w:space="0" w:color="auto"/>
        <w:bottom w:val="none" w:sz="0" w:space="0" w:color="auto"/>
        <w:right w:val="none" w:sz="0" w:space="0" w:color="auto"/>
      </w:divBdr>
    </w:div>
    <w:div w:id="184833868">
      <w:bodyDiv w:val="1"/>
      <w:marLeft w:val="0"/>
      <w:marRight w:val="0"/>
      <w:marTop w:val="0"/>
      <w:marBottom w:val="0"/>
      <w:divBdr>
        <w:top w:val="none" w:sz="0" w:space="0" w:color="auto"/>
        <w:left w:val="none" w:sz="0" w:space="0" w:color="auto"/>
        <w:bottom w:val="none" w:sz="0" w:space="0" w:color="auto"/>
        <w:right w:val="none" w:sz="0" w:space="0" w:color="auto"/>
      </w:divBdr>
    </w:div>
    <w:div w:id="325397411">
      <w:bodyDiv w:val="1"/>
      <w:marLeft w:val="0"/>
      <w:marRight w:val="0"/>
      <w:marTop w:val="0"/>
      <w:marBottom w:val="0"/>
      <w:divBdr>
        <w:top w:val="none" w:sz="0" w:space="0" w:color="auto"/>
        <w:left w:val="none" w:sz="0" w:space="0" w:color="auto"/>
        <w:bottom w:val="none" w:sz="0" w:space="0" w:color="auto"/>
        <w:right w:val="none" w:sz="0" w:space="0" w:color="auto"/>
      </w:divBdr>
    </w:div>
    <w:div w:id="347566950">
      <w:bodyDiv w:val="1"/>
      <w:marLeft w:val="0"/>
      <w:marRight w:val="0"/>
      <w:marTop w:val="0"/>
      <w:marBottom w:val="0"/>
      <w:divBdr>
        <w:top w:val="none" w:sz="0" w:space="0" w:color="auto"/>
        <w:left w:val="none" w:sz="0" w:space="0" w:color="auto"/>
        <w:bottom w:val="none" w:sz="0" w:space="0" w:color="auto"/>
        <w:right w:val="none" w:sz="0" w:space="0" w:color="auto"/>
      </w:divBdr>
    </w:div>
    <w:div w:id="370226202">
      <w:bodyDiv w:val="1"/>
      <w:marLeft w:val="0"/>
      <w:marRight w:val="0"/>
      <w:marTop w:val="0"/>
      <w:marBottom w:val="0"/>
      <w:divBdr>
        <w:top w:val="none" w:sz="0" w:space="0" w:color="auto"/>
        <w:left w:val="none" w:sz="0" w:space="0" w:color="auto"/>
        <w:bottom w:val="none" w:sz="0" w:space="0" w:color="auto"/>
        <w:right w:val="none" w:sz="0" w:space="0" w:color="auto"/>
      </w:divBdr>
    </w:div>
    <w:div w:id="413820308">
      <w:bodyDiv w:val="1"/>
      <w:marLeft w:val="0"/>
      <w:marRight w:val="0"/>
      <w:marTop w:val="0"/>
      <w:marBottom w:val="0"/>
      <w:divBdr>
        <w:top w:val="none" w:sz="0" w:space="0" w:color="auto"/>
        <w:left w:val="none" w:sz="0" w:space="0" w:color="auto"/>
        <w:bottom w:val="none" w:sz="0" w:space="0" w:color="auto"/>
        <w:right w:val="none" w:sz="0" w:space="0" w:color="auto"/>
      </w:divBdr>
      <w:divsChild>
        <w:div w:id="104156223">
          <w:marLeft w:val="432"/>
          <w:marRight w:val="0"/>
          <w:marTop w:val="60"/>
          <w:marBottom w:val="60"/>
          <w:divBdr>
            <w:top w:val="none" w:sz="0" w:space="0" w:color="auto"/>
            <w:left w:val="none" w:sz="0" w:space="0" w:color="auto"/>
            <w:bottom w:val="none" w:sz="0" w:space="0" w:color="auto"/>
            <w:right w:val="none" w:sz="0" w:space="0" w:color="auto"/>
          </w:divBdr>
        </w:div>
        <w:div w:id="638462089">
          <w:marLeft w:val="432"/>
          <w:marRight w:val="0"/>
          <w:marTop w:val="60"/>
          <w:marBottom w:val="60"/>
          <w:divBdr>
            <w:top w:val="none" w:sz="0" w:space="0" w:color="auto"/>
            <w:left w:val="none" w:sz="0" w:space="0" w:color="auto"/>
            <w:bottom w:val="none" w:sz="0" w:space="0" w:color="auto"/>
            <w:right w:val="none" w:sz="0" w:space="0" w:color="auto"/>
          </w:divBdr>
        </w:div>
        <w:div w:id="1449619958">
          <w:marLeft w:val="432"/>
          <w:marRight w:val="0"/>
          <w:marTop w:val="60"/>
          <w:marBottom w:val="60"/>
          <w:divBdr>
            <w:top w:val="none" w:sz="0" w:space="0" w:color="auto"/>
            <w:left w:val="none" w:sz="0" w:space="0" w:color="auto"/>
            <w:bottom w:val="none" w:sz="0" w:space="0" w:color="auto"/>
            <w:right w:val="none" w:sz="0" w:space="0" w:color="auto"/>
          </w:divBdr>
        </w:div>
      </w:divsChild>
    </w:div>
    <w:div w:id="415133319">
      <w:bodyDiv w:val="1"/>
      <w:marLeft w:val="0"/>
      <w:marRight w:val="0"/>
      <w:marTop w:val="0"/>
      <w:marBottom w:val="0"/>
      <w:divBdr>
        <w:top w:val="none" w:sz="0" w:space="0" w:color="auto"/>
        <w:left w:val="none" w:sz="0" w:space="0" w:color="auto"/>
        <w:bottom w:val="none" w:sz="0" w:space="0" w:color="auto"/>
        <w:right w:val="none" w:sz="0" w:space="0" w:color="auto"/>
      </w:divBdr>
    </w:div>
    <w:div w:id="479154144">
      <w:bodyDiv w:val="1"/>
      <w:marLeft w:val="0"/>
      <w:marRight w:val="0"/>
      <w:marTop w:val="0"/>
      <w:marBottom w:val="0"/>
      <w:divBdr>
        <w:top w:val="none" w:sz="0" w:space="0" w:color="auto"/>
        <w:left w:val="none" w:sz="0" w:space="0" w:color="auto"/>
        <w:bottom w:val="none" w:sz="0" w:space="0" w:color="auto"/>
        <w:right w:val="none" w:sz="0" w:space="0" w:color="auto"/>
      </w:divBdr>
    </w:div>
    <w:div w:id="488794104">
      <w:bodyDiv w:val="1"/>
      <w:marLeft w:val="0"/>
      <w:marRight w:val="0"/>
      <w:marTop w:val="0"/>
      <w:marBottom w:val="0"/>
      <w:divBdr>
        <w:top w:val="none" w:sz="0" w:space="0" w:color="auto"/>
        <w:left w:val="none" w:sz="0" w:space="0" w:color="auto"/>
        <w:bottom w:val="none" w:sz="0" w:space="0" w:color="auto"/>
        <w:right w:val="none" w:sz="0" w:space="0" w:color="auto"/>
      </w:divBdr>
    </w:div>
    <w:div w:id="511647054">
      <w:bodyDiv w:val="1"/>
      <w:marLeft w:val="0"/>
      <w:marRight w:val="0"/>
      <w:marTop w:val="0"/>
      <w:marBottom w:val="0"/>
      <w:divBdr>
        <w:top w:val="none" w:sz="0" w:space="0" w:color="auto"/>
        <w:left w:val="none" w:sz="0" w:space="0" w:color="auto"/>
        <w:bottom w:val="none" w:sz="0" w:space="0" w:color="auto"/>
        <w:right w:val="none" w:sz="0" w:space="0" w:color="auto"/>
      </w:divBdr>
    </w:div>
    <w:div w:id="562914298">
      <w:bodyDiv w:val="1"/>
      <w:marLeft w:val="0"/>
      <w:marRight w:val="0"/>
      <w:marTop w:val="0"/>
      <w:marBottom w:val="0"/>
      <w:divBdr>
        <w:top w:val="none" w:sz="0" w:space="0" w:color="auto"/>
        <w:left w:val="none" w:sz="0" w:space="0" w:color="auto"/>
        <w:bottom w:val="none" w:sz="0" w:space="0" w:color="auto"/>
        <w:right w:val="none" w:sz="0" w:space="0" w:color="auto"/>
      </w:divBdr>
    </w:div>
    <w:div w:id="594437449">
      <w:bodyDiv w:val="1"/>
      <w:marLeft w:val="0"/>
      <w:marRight w:val="0"/>
      <w:marTop w:val="0"/>
      <w:marBottom w:val="0"/>
      <w:divBdr>
        <w:top w:val="none" w:sz="0" w:space="0" w:color="auto"/>
        <w:left w:val="none" w:sz="0" w:space="0" w:color="auto"/>
        <w:bottom w:val="none" w:sz="0" w:space="0" w:color="auto"/>
        <w:right w:val="none" w:sz="0" w:space="0" w:color="auto"/>
      </w:divBdr>
    </w:div>
    <w:div w:id="595287482">
      <w:bodyDiv w:val="1"/>
      <w:marLeft w:val="0"/>
      <w:marRight w:val="0"/>
      <w:marTop w:val="0"/>
      <w:marBottom w:val="0"/>
      <w:divBdr>
        <w:top w:val="none" w:sz="0" w:space="0" w:color="auto"/>
        <w:left w:val="none" w:sz="0" w:space="0" w:color="auto"/>
        <w:bottom w:val="none" w:sz="0" w:space="0" w:color="auto"/>
        <w:right w:val="none" w:sz="0" w:space="0" w:color="auto"/>
      </w:divBdr>
      <w:divsChild>
        <w:div w:id="602811212">
          <w:marLeft w:val="432"/>
          <w:marRight w:val="0"/>
          <w:marTop w:val="60"/>
          <w:marBottom w:val="60"/>
          <w:divBdr>
            <w:top w:val="none" w:sz="0" w:space="0" w:color="auto"/>
            <w:left w:val="none" w:sz="0" w:space="0" w:color="auto"/>
            <w:bottom w:val="none" w:sz="0" w:space="0" w:color="auto"/>
            <w:right w:val="none" w:sz="0" w:space="0" w:color="auto"/>
          </w:divBdr>
        </w:div>
        <w:div w:id="910042566">
          <w:marLeft w:val="432"/>
          <w:marRight w:val="0"/>
          <w:marTop w:val="60"/>
          <w:marBottom w:val="60"/>
          <w:divBdr>
            <w:top w:val="none" w:sz="0" w:space="0" w:color="auto"/>
            <w:left w:val="none" w:sz="0" w:space="0" w:color="auto"/>
            <w:bottom w:val="none" w:sz="0" w:space="0" w:color="auto"/>
            <w:right w:val="none" w:sz="0" w:space="0" w:color="auto"/>
          </w:divBdr>
        </w:div>
        <w:div w:id="1224414641">
          <w:marLeft w:val="432"/>
          <w:marRight w:val="0"/>
          <w:marTop w:val="60"/>
          <w:marBottom w:val="60"/>
          <w:divBdr>
            <w:top w:val="none" w:sz="0" w:space="0" w:color="auto"/>
            <w:left w:val="none" w:sz="0" w:space="0" w:color="auto"/>
            <w:bottom w:val="none" w:sz="0" w:space="0" w:color="auto"/>
            <w:right w:val="none" w:sz="0" w:space="0" w:color="auto"/>
          </w:divBdr>
        </w:div>
      </w:divsChild>
    </w:div>
    <w:div w:id="631785149">
      <w:bodyDiv w:val="1"/>
      <w:marLeft w:val="0"/>
      <w:marRight w:val="0"/>
      <w:marTop w:val="0"/>
      <w:marBottom w:val="0"/>
      <w:divBdr>
        <w:top w:val="none" w:sz="0" w:space="0" w:color="auto"/>
        <w:left w:val="none" w:sz="0" w:space="0" w:color="auto"/>
        <w:bottom w:val="none" w:sz="0" w:space="0" w:color="auto"/>
        <w:right w:val="none" w:sz="0" w:space="0" w:color="auto"/>
      </w:divBdr>
      <w:divsChild>
        <w:div w:id="328101822">
          <w:marLeft w:val="274"/>
          <w:marRight w:val="0"/>
          <w:marTop w:val="0"/>
          <w:marBottom w:val="0"/>
          <w:divBdr>
            <w:top w:val="none" w:sz="0" w:space="0" w:color="auto"/>
            <w:left w:val="none" w:sz="0" w:space="0" w:color="auto"/>
            <w:bottom w:val="none" w:sz="0" w:space="0" w:color="auto"/>
            <w:right w:val="none" w:sz="0" w:space="0" w:color="auto"/>
          </w:divBdr>
        </w:div>
        <w:div w:id="708454654">
          <w:marLeft w:val="274"/>
          <w:marRight w:val="0"/>
          <w:marTop w:val="0"/>
          <w:marBottom w:val="0"/>
          <w:divBdr>
            <w:top w:val="none" w:sz="0" w:space="0" w:color="auto"/>
            <w:left w:val="none" w:sz="0" w:space="0" w:color="auto"/>
            <w:bottom w:val="none" w:sz="0" w:space="0" w:color="auto"/>
            <w:right w:val="none" w:sz="0" w:space="0" w:color="auto"/>
          </w:divBdr>
        </w:div>
      </w:divsChild>
    </w:div>
    <w:div w:id="643967245">
      <w:bodyDiv w:val="1"/>
      <w:marLeft w:val="0"/>
      <w:marRight w:val="0"/>
      <w:marTop w:val="0"/>
      <w:marBottom w:val="0"/>
      <w:divBdr>
        <w:top w:val="none" w:sz="0" w:space="0" w:color="auto"/>
        <w:left w:val="none" w:sz="0" w:space="0" w:color="auto"/>
        <w:bottom w:val="none" w:sz="0" w:space="0" w:color="auto"/>
        <w:right w:val="none" w:sz="0" w:space="0" w:color="auto"/>
      </w:divBdr>
    </w:div>
    <w:div w:id="646473192">
      <w:bodyDiv w:val="1"/>
      <w:marLeft w:val="0"/>
      <w:marRight w:val="0"/>
      <w:marTop w:val="0"/>
      <w:marBottom w:val="0"/>
      <w:divBdr>
        <w:top w:val="none" w:sz="0" w:space="0" w:color="auto"/>
        <w:left w:val="none" w:sz="0" w:space="0" w:color="auto"/>
        <w:bottom w:val="none" w:sz="0" w:space="0" w:color="auto"/>
        <w:right w:val="none" w:sz="0" w:space="0" w:color="auto"/>
      </w:divBdr>
    </w:div>
    <w:div w:id="714038270">
      <w:bodyDiv w:val="1"/>
      <w:marLeft w:val="0"/>
      <w:marRight w:val="0"/>
      <w:marTop w:val="0"/>
      <w:marBottom w:val="0"/>
      <w:divBdr>
        <w:top w:val="none" w:sz="0" w:space="0" w:color="auto"/>
        <w:left w:val="none" w:sz="0" w:space="0" w:color="auto"/>
        <w:bottom w:val="none" w:sz="0" w:space="0" w:color="auto"/>
        <w:right w:val="none" w:sz="0" w:space="0" w:color="auto"/>
      </w:divBdr>
    </w:div>
    <w:div w:id="793905024">
      <w:bodyDiv w:val="1"/>
      <w:marLeft w:val="0"/>
      <w:marRight w:val="0"/>
      <w:marTop w:val="0"/>
      <w:marBottom w:val="0"/>
      <w:divBdr>
        <w:top w:val="none" w:sz="0" w:space="0" w:color="auto"/>
        <w:left w:val="none" w:sz="0" w:space="0" w:color="auto"/>
        <w:bottom w:val="none" w:sz="0" w:space="0" w:color="auto"/>
        <w:right w:val="none" w:sz="0" w:space="0" w:color="auto"/>
      </w:divBdr>
      <w:divsChild>
        <w:div w:id="642198789">
          <w:marLeft w:val="850"/>
          <w:marRight w:val="0"/>
          <w:marTop w:val="100"/>
          <w:marBottom w:val="0"/>
          <w:divBdr>
            <w:top w:val="none" w:sz="0" w:space="0" w:color="auto"/>
            <w:left w:val="none" w:sz="0" w:space="0" w:color="auto"/>
            <w:bottom w:val="none" w:sz="0" w:space="0" w:color="auto"/>
            <w:right w:val="none" w:sz="0" w:space="0" w:color="auto"/>
          </w:divBdr>
        </w:div>
        <w:div w:id="1062290351">
          <w:marLeft w:val="850"/>
          <w:marRight w:val="0"/>
          <w:marTop w:val="100"/>
          <w:marBottom w:val="0"/>
          <w:divBdr>
            <w:top w:val="none" w:sz="0" w:space="0" w:color="auto"/>
            <w:left w:val="none" w:sz="0" w:space="0" w:color="auto"/>
            <w:bottom w:val="none" w:sz="0" w:space="0" w:color="auto"/>
            <w:right w:val="none" w:sz="0" w:space="0" w:color="auto"/>
          </w:divBdr>
        </w:div>
        <w:div w:id="2097356780">
          <w:marLeft w:val="850"/>
          <w:marRight w:val="0"/>
          <w:marTop w:val="100"/>
          <w:marBottom w:val="0"/>
          <w:divBdr>
            <w:top w:val="none" w:sz="0" w:space="0" w:color="auto"/>
            <w:left w:val="none" w:sz="0" w:space="0" w:color="auto"/>
            <w:bottom w:val="none" w:sz="0" w:space="0" w:color="auto"/>
            <w:right w:val="none" w:sz="0" w:space="0" w:color="auto"/>
          </w:divBdr>
        </w:div>
      </w:divsChild>
    </w:div>
    <w:div w:id="842746742">
      <w:bodyDiv w:val="1"/>
      <w:marLeft w:val="0"/>
      <w:marRight w:val="0"/>
      <w:marTop w:val="0"/>
      <w:marBottom w:val="0"/>
      <w:divBdr>
        <w:top w:val="none" w:sz="0" w:space="0" w:color="auto"/>
        <w:left w:val="none" w:sz="0" w:space="0" w:color="auto"/>
        <w:bottom w:val="none" w:sz="0" w:space="0" w:color="auto"/>
        <w:right w:val="none" w:sz="0" w:space="0" w:color="auto"/>
      </w:divBdr>
    </w:div>
    <w:div w:id="867303863">
      <w:bodyDiv w:val="1"/>
      <w:marLeft w:val="0"/>
      <w:marRight w:val="0"/>
      <w:marTop w:val="0"/>
      <w:marBottom w:val="0"/>
      <w:divBdr>
        <w:top w:val="none" w:sz="0" w:space="0" w:color="auto"/>
        <w:left w:val="none" w:sz="0" w:space="0" w:color="auto"/>
        <w:bottom w:val="none" w:sz="0" w:space="0" w:color="auto"/>
        <w:right w:val="none" w:sz="0" w:space="0" w:color="auto"/>
      </w:divBdr>
    </w:div>
    <w:div w:id="892885267">
      <w:bodyDiv w:val="1"/>
      <w:marLeft w:val="0"/>
      <w:marRight w:val="0"/>
      <w:marTop w:val="0"/>
      <w:marBottom w:val="0"/>
      <w:divBdr>
        <w:top w:val="none" w:sz="0" w:space="0" w:color="auto"/>
        <w:left w:val="none" w:sz="0" w:space="0" w:color="auto"/>
        <w:bottom w:val="none" w:sz="0" w:space="0" w:color="auto"/>
        <w:right w:val="none" w:sz="0" w:space="0" w:color="auto"/>
      </w:divBdr>
    </w:div>
    <w:div w:id="900673076">
      <w:bodyDiv w:val="1"/>
      <w:marLeft w:val="0"/>
      <w:marRight w:val="0"/>
      <w:marTop w:val="0"/>
      <w:marBottom w:val="0"/>
      <w:divBdr>
        <w:top w:val="none" w:sz="0" w:space="0" w:color="auto"/>
        <w:left w:val="none" w:sz="0" w:space="0" w:color="auto"/>
        <w:bottom w:val="none" w:sz="0" w:space="0" w:color="auto"/>
        <w:right w:val="none" w:sz="0" w:space="0" w:color="auto"/>
      </w:divBdr>
    </w:div>
    <w:div w:id="915473649">
      <w:bodyDiv w:val="1"/>
      <w:marLeft w:val="0"/>
      <w:marRight w:val="0"/>
      <w:marTop w:val="0"/>
      <w:marBottom w:val="0"/>
      <w:divBdr>
        <w:top w:val="none" w:sz="0" w:space="0" w:color="auto"/>
        <w:left w:val="none" w:sz="0" w:space="0" w:color="auto"/>
        <w:bottom w:val="none" w:sz="0" w:space="0" w:color="auto"/>
        <w:right w:val="none" w:sz="0" w:space="0" w:color="auto"/>
      </w:divBdr>
    </w:div>
    <w:div w:id="921795539">
      <w:bodyDiv w:val="1"/>
      <w:marLeft w:val="0"/>
      <w:marRight w:val="0"/>
      <w:marTop w:val="0"/>
      <w:marBottom w:val="0"/>
      <w:divBdr>
        <w:top w:val="none" w:sz="0" w:space="0" w:color="auto"/>
        <w:left w:val="none" w:sz="0" w:space="0" w:color="auto"/>
        <w:bottom w:val="none" w:sz="0" w:space="0" w:color="auto"/>
        <w:right w:val="none" w:sz="0" w:space="0" w:color="auto"/>
      </w:divBdr>
    </w:div>
    <w:div w:id="931284580">
      <w:bodyDiv w:val="1"/>
      <w:marLeft w:val="0"/>
      <w:marRight w:val="0"/>
      <w:marTop w:val="0"/>
      <w:marBottom w:val="0"/>
      <w:divBdr>
        <w:top w:val="none" w:sz="0" w:space="0" w:color="auto"/>
        <w:left w:val="none" w:sz="0" w:space="0" w:color="auto"/>
        <w:bottom w:val="none" w:sz="0" w:space="0" w:color="auto"/>
        <w:right w:val="none" w:sz="0" w:space="0" w:color="auto"/>
      </w:divBdr>
      <w:divsChild>
        <w:div w:id="1227951917">
          <w:marLeft w:val="274"/>
          <w:marRight w:val="0"/>
          <w:marTop w:val="0"/>
          <w:marBottom w:val="0"/>
          <w:divBdr>
            <w:top w:val="none" w:sz="0" w:space="0" w:color="auto"/>
            <w:left w:val="none" w:sz="0" w:space="0" w:color="auto"/>
            <w:bottom w:val="none" w:sz="0" w:space="0" w:color="auto"/>
            <w:right w:val="none" w:sz="0" w:space="0" w:color="auto"/>
          </w:divBdr>
        </w:div>
      </w:divsChild>
    </w:div>
    <w:div w:id="932711711">
      <w:bodyDiv w:val="1"/>
      <w:marLeft w:val="0"/>
      <w:marRight w:val="0"/>
      <w:marTop w:val="0"/>
      <w:marBottom w:val="0"/>
      <w:divBdr>
        <w:top w:val="none" w:sz="0" w:space="0" w:color="auto"/>
        <w:left w:val="none" w:sz="0" w:space="0" w:color="auto"/>
        <w:bottom w:val="none" w:sz="0" w:space="0" w:color="auto"/>
        <w:right w:val="none" w:sz="0" w:space="0" w:color="auto"/>
      </w:divBdr>
      <w:divsChild>
        <w:div w:id="1319843421">
          <w:marLeft w:val="547"/>
          <w:marRight w:val="0"/>
          <w:marTop w:val="0"/>
          <w:marBottom w:val="0"/>
          <w:divBdr>
            <w:top w:val="none" w:sz="0" w:space="0" w:color="auto"/>
            <w:left w:val="none" w:sz="0" w:space="0" w:color="auto"/>
            <w:bottom w:val="none" w:sz="0" w:space="0" w:color="auto"/>
            <w:right w:val="none" w:sz="0" w:space="0" w:color="auto"/>
          </w:divBdr>
        </w:div>
      </w:divsChild>
    </w:div>
    <w:div w:id="947657936">
      <w:bodyDiv w:val="1"/>
      <w:marLeft w:val="0"/>
      <w:marRight w:val="0"/>
      <w:marTop w:val="0"/>
      <w:marBottom w:val="0"/>
      <w:divBdr>
        <w:top w:val="none" w:sz="0" w:space="0" w:color="auto"/>
        <w:left w:val="none" w:sz="0" w:space="0" w:color="auto"/>
        <w:bottom w:val="none" w:sz="0" w:space="0" w:color="auto"/>
        <w:right w:val="none" w:sz="0" w:space="0" w:color="auto"/>
      </w:divBdr>
    </w:div>
    <w:div w:id="965162495">
      <w:bodyDiv w:val="1"/>
      <w:marLeft w:val="0"/>
      <w:marRight w:val="0"/>
      <w:marTop w:val="0"/>
      <w:marBottom w:val="0"/>
      <w:divBdr>
        <w:top w:val="none" w:sz="0" w:space="0" w:color="auto"/>
        <w:left w:val="none" w:sz="0" w:space="0" w:color="auto"/>
        <w:bottom w:val="none" w:sz="0" w:space="0" w:color="auto"/>
        <w:right w:val="none" w:sz="0" w:space="0" w:color="auto"/>
      </w:divBdr>
    </w:div>
    <w:div w:id="980115045">
      <w:bodyDiv w:val="1"/>
      <w:marLeft w:val="0"/>
      <w:marRight w:val="0"/>
      <w:marTop w:val="0"/>
      <w:marBottom w:val="0"/>
      <w:divBdr>
        <w:top w:val="none" w:sz="0" w:space="0" w:color="auto"/>
        <w:left w:val="none" w:sz="0" w:space="0" w:color="auto"/>
        <w:bottom w:val="none" w:sz="0" w:space="0" w:color="auto"/>
        <w:right w:val="none" w:sz="0" w:space="0" w:color="auto"/>
      </w:divBdr>
    </w:div>
    <w:div w:id="984240769">
      <w:bodyDiv w:val="1"/>
      <w:marLeft w:val="0"/>
      <w:marRight w:val="0"/>
      <w:marTop w:val="0"/>
      <w:marBottom w:val="0"/>
      <w:divBdr>
        <w:top w:val="none" w:sz="0" w:space="0" w:color="auto"/>
        <w:left w:val="none" w:sz="0" w:space="0" w:color="auto"/>
        <w:bottom w:val="none" w:sz="0" w:space="0" w:color="auto"/>
        <w:right w:val="none" w:sz="0" w:space="0" w:color="auto"/>
      </w:divBdr>
    </w:div>
    <w:div w:id="1021668293">
      <w:bodyDiv w:val="1"/>
      <w:marLeft w:val="0"/>
      <w:marRight w:val="0"/>
      <w:marTop w:val="0"/>
      <w:marBottom w:val="0"/>
      <w:divBdr>
        <w:top w:val="none" w:sz="0" w:space="0" w:color="auto"/>
        <w:left w:val="none" w:sz="0" w:space="0" w:color="auto"/>
        <w:bottom w:val="none" w:sz="0" w:space="0" w:color="auto"/>
        <w:right w:val="none" w:sz="0" w:space="0" w:color="auto"/>
      </w:divBdr>
    </w:div>
    <w:div w:id="1028751142">
      <w:bodyDiv w:val="1"/>
      <w:marLeft w:val="0"/>
      <w:marRight w:val="0"/>
      <w:marTop w:val="0"/>
      <w:marBottom w:val="0"/>
      <w:divBdr>
        <w:top w:val="none" w:sz="0" w:space="0" w:color="auto"/>
        <w:left w:val="none" w:sz="0" w:space="0" w:color="auto"/>
        <w:bottom w:val="none" w:sz="0" w:space="0" w:color="auto"/>
        <w:right w:val="none" w:sz="0" w:space="0" w:color="auto"/>
      </w:divBdr>
      <w:divsChild>
        <w:div w:id="1850099424">
          <w:marLeft w:val="547"/>
          <w:marRight w:val="0"/>
          <w:marTop w:val="0"/>
          <w:marBottom w:val="0"/>
          <w:divBdr>
            <w:top w:val="none" w:sz="0" w:space="0" w:color="auto"/>
            <w:left w:val="none" w:sz="0" w:space="0" w:color="auto"/>
            <w:bottom w:val="none" w:sz="0" w:space="0" w:color="auto"/>
            <w:right w:val="none" w:sz="0" w:space="0" w:color="auto"/>
          </w:divBdr>
        </w:div>
        <w:div w:id="1922371937">
          <w:marLeft w:val="547"/>
          <w:marRight w:val="0"/>
          <w:marTop w:val="0"/>
          <w:marBottom w:val="0"/>
          <w:divBdr>
            <w:top w:val="none" w:sz="0" w:space="0" w:color="auto"/>
            <w:left w:val="none" w:sz="0" w:space="0" w:color="auto"/>
            <w:bottom w:val="none" w:sz="0" w:space="0" w:color="auto"/>
            <w:right w:val="none" w:sz="0" w:space="0" w:color="auto"/>
          </w:divBdr>
        </w:div>
      </w:divsChild>
    </w:div>
    <w:div w:id="1055932366">
      <w:bodyDiv w:val="1"/>
      <w:marLeft w:val="0"/>
      <w:marRight w:val="0"/>
      <w:marTop w:val="0"/>
      <w:marBottom w:val="0"/>
      <w:divBdr>
        <w:top w:val="none" w:sz="0" w:space="0" w:color="auto"/>
        <w:left w:val="none" w:sz="0" w:space="0" w:color="auto"/>
        <w:bottom w:val="none" w:sz="0" w:space="0" w:color="auto"/>
        <w:right w:val="none" w:sz="0" w:space="0" w:color="auto"/>
      </w:divBdr>
      <w:divsChild>
        <w:div w:id="1833329879">
          <w:marLeft w:val="547"/>
          <w:marRight w:val="0"/>
          <w:marTop w:val="0"/>
          <w:marBottom w:val="200"/>
          <w:divBdr>
            <w:top w:val="none" w:sz="0" w:space="0" w:color="auto"/>
            <w:left w:val="none" w:sz="0" w:space="0" w:color="auto"/>
            <w:bottom w:val="none" w:sz="0" w:space="0" w:color="auto"/>
            <w:right w:val="none" w:sz="0" w:space="0" w:color="auto"/>
          </w:divBdr>
        </w:div>
        <w:div w:id="1927180738">
          <w:marLeft w:val="547"/>
          <w:marRight w:val="0"/>
          <w:marTop w:val="0"/>
          <w:marBottom w:val="200"/>
          <w:divBdr>
            <w:top w:val="none" w:sz="0" w:space="0" w:color="auto"/>
            <w:left w:val="none" w:sz="0" w:space="0" w:color="auto"/>
            <w:bottom w:val="none" w:sz="0" w:space="0" w:color="auto"/>
            <w:right w:val="none" w:sz="0" w:space="0" w:color="auto"/>
          </w:divBdr>
        </w:div>
      </w:divsChild>
    </w:div>
    <w:div w:id="1084568294">
      <w:bodyDiv w:val="1"/>
      <w:marLeft w:val="0"/>
      <w:marRight w:val="0"/>
      <w:marTop w:val="0"/>
      <w:marBottom w:val="0"/>
      <w:divBdr>
        <w:top w:val="none" w:sz="0" w:space="0" w:color="auto"/>
        <w:left w:val="none" w:sz="0" w:space="0" w:color="auto"/>
        <w:bottom w:val="none" w:sz="0" w:space="0" w:color="auto"/>
        <w:right w:val="none" w:sz="0" w:space="0" w:color="auto"/>
      </w:divBdr>
      <w:divsChild>
        <w:div w:id="10691244">
          <w:marLeft w:val="274"/>
          <w:marRight w:val="0"/>
          <w:marTop w:val="0"/>
          <w:marBottom w:val="0"/>
          <w:divBdr>
            <w:top w:val="none" w:sz="0" w:space="0" w:color="auto"/>
            <w:left w:val="none" w:sz="0" w:space="0" w:color="auto"/>
            <w:bottom w:val="none" w:sz="0" w:space="0" w:color="auto"/>
            <w:right w:val="none" w:sz="0" w:space="0" w:color="auto"/>
          </w:divBdr>
        </w:div>
        <w:div w:id="343214988">
          <w:marLeft w:val="274"/>
          <w:marRight w:val="0"/>
          <w:marTop w:val="0"/>
          <w:marBottom w:val="0"/>
          <w:divBdr>
            <w:top w:val="none" w:sz="0" w:space="0" w:color="auto"/>
            <w:left w:val="none" w:sz="0" w:space="0" w:color="auto"/>
            <w:bottom w:val="none" w:sz="0" w:space="0" w:color="auto"/>
            <w:right w:val="none" w:sz="0" w:space="0" w:color="auto"/>
          </w:divBdr>
        </w:div>
        <w:div w:id="642540729">
          <w:marLeft w:val="274"/>
          <w:marRight w:val="0"/>
          <w:marTop w:val="0"/>
          <w:marBottom w:val="0"/>
          <w:divBdr>
            <w:top w:val="none" w:sz="0" w:space="0" w:color="auto"/>
            <w:left w:val="none" w:sz="0" w:space="0" w:color="auto"/>
            <w:bottom w:val="none" w:sz="0" w:space="0" w:color="auto"/>
            <w:right w:val="none" w:sz="0" w:space="0" w:color="auto"/>
          </w:divBdr>
        </w:div>
        <w:div w:id="1342312866">
          <w:marLeft w:val="274"/>
          <w:marRight w:val="0"/>
          <w:marTop w:val="0"/>
          <w:marBottom w:val="0"/>
          <w:divBdr>
            <w:top w:val="none" w:sz="0" w:space="0" w:color="auto"/>
            <w:left w:val="none" w:sz="0" w:space="0" w:color="auto"/>
            <w:bottom w:val="none" w:sz="0" w:space="0" w:color="auto"/>
            <w:right w:val="none" w:sz="0" w:space="0" w:color="auto"/>
          </w:divBdr>
        </w:div>
      </w:divsChild>
    </w:div>
    <w:div w:id="1115558884">
      <w:bodyDiv w:val="1"/>
      <w:marLeft w:val="0"/>
      <w:marRight w:val="0"/>
      <w:marTop w:val="0"/>
      <w:marBottom w:val="0"/>
      <w:divBdr>
        <w:top w:val="none" w:sz="0" w:space="0" w:color="auto"/>
        <w:left w:val="none" w:sz="0" w:space="0" w:color="auto"/>
        <w:bottom w:val="none" w:sz="0" w:space="0" w:color="auto"/>
        <w:right w:val="none" w:sz="0" w:space="0" w:color="auto"/>
      </w:divBdr>
    </w:div>
    <w:div w:id="1137994076">
      <w:bodyDiv w:val="1"/>
      <w:marLeft w:val="0"/>
      <w:marRight w:val="0"/>
      <w:marTop w:val="0"/>
      <w:marBottom w:val="0"/>
      <w:divBdr>
        <w:top w:val="none" w:sz="0" w:space="0" w:color="auto"/>
        <w:left w:val="none" w:sz="0" w:space="0" w:color="auto"/>
        <w:bottom w:val="none" w:sz="0" w:space="0" w:color="auto"/>
        <w:right w:val="none" w:sz="0" w:space="0" w:color="auto"/>
      </w:divBdr>
    </w:div>
    <w:div w:id="1142231084">
      <w:bodyDiv w:val="1"/>
      <w:marLeft w:val="0"/>
      <w:marRight w:val="0"/>
      <w:marTop w:val="0"/>
      <w:marBottom w:val="0"/>
      <w:divBdr>
        <w:top w:val="none" w:sz="0" w:space="0" w:color="auto"/>
        <w:left w:val="none" w:sz="0" w:space="0" w:color="auto"/>
        <w:bottom w:val="none" w:sz="0" w:space="0" w:color="auto"/>
        <w:right w:val="none" w:sz="0" w:space="0" w:color="auto"/>
      </w:divBdr>
      <w:divsChild>
        <w:div w:id="570047457">
          <w:marLeft w:val="547"/>
          <w:marRight w:val="0"/>
          <w:marTop w:val="60"/>
          <w:marBottom w:val="60"/>
          <w:divBdr>
            <w:top w:val="none" w:sz="0" w:space="0" w:color="auto"/>
            <w:left w:val="none" w:sz="0" w:space="0" w:color="auto"/>
            <w:bottom w:val="none" w:sz="0" w:space="0" w:color="auto"/>
            <w:right w:val="none" w:sz="0" w:space="0" w:color="auto"/>
          </w:divBdr>
        </w:div>
      </w:divsChild>
    </w:div>
    <w:div w:id="1160584194">
      <w:bodyDiv w:val="1"/>
      <w:marLeft w:val="0"/>
      <w:marRight w:val="0"/>
      <w:marTop w:val="0"/>
      <w:marBottom w:val="0"/>
      <w:divBdr>
        <w:top w:val="none" w:sz="0" w:space="0" w:color="auto"/>
        <w:left w:val="none" w:sz="0" w:space="0" w:color="auto"/>
        <w:bottom w:val="none" w:sz="0" w:space="0" w:color="auto"/>
        <w:right w:val="none" w:sz="0" w:space="0" w:color="auto"/>
      </w:divBdr>
    </w:div>
    <w:div w:id="1164053832">
      <w:bodyDiv w:val="1"/>
      <w:marLeft w:val="0"/>
      <w:marRight w:val="0"/>
      <w:marTop w:val="0"/>
      <w:marBottom w:val="0"/>
      <w:divBdr>
        <w:top w:val="none" w:sz="0" w:space="0" w:color="auto"/>
        <w:left w:val="none" w:sz="0" w:space="0" w:color="auto"/>
        <w:bottom w:val="none" w:sz="0" w:space="0" w:color="auto"/>
        <w:right w:val="none" w:sz="0" w:space="0" w:color="auto"/>
      </w:divBdr>
    </w:div>
    <w:div w:id="1164970491">
      <w:bodyDiv w:val="1"/>
      <w:marLeft w:val="0"/>
      <w:marRight w:val="0"/>
      <w:marTop w:val="0"/>
      <w:marBottom w:val="0"/>
      <w:divBdr>
        <w:top w:val="none" w:sz="0" w:space="0" w:color="auto"/>
        <w:left w:val="none" w:sz="0" w:space="0" w:color="auto"/>
        <w:bottom w:val="none" w:sz="0" w:space="0" w:color="auto"/>
        <w:right w:val="none" w:sz="0" w:space="0" w:color="auto"/>
      </w:divBdr>
    </w:div>
    <w:div w:id="1174341499">
      <w:bodyDiv w:val="1"/>
      <w:marLeft w:val="0"/>
      <w:marRight w:val="0"/>
      <w:marTop w:val="0"/>
      <w:marBottom w:val="0"/>
      <w:divBdr>
        <w:top w:val="none" w:sz="0" w:space="0" w:color="auto"/>
        <w:left w:val="none" w:sz="0" w:space="0" w:color="auto"/>
        <w:bottom w:val="none" w:sz="0" w:space="0" w:color="auto"/>
        <w:right w:val="none" w:sz="0" w:space="0" w:color="auto"/>
      </w:divBdr>
    </w:div>
    <w:div w:id="1175919748">
      <w:bodyDiv w:val="1"/>
      <w:marLeft w:val="0"/>
      <w:marRight w:val="0"/>
      <w:marTop w:val="0"/>
      <w:marBottom w:val="0"/>
      <w:divBdr>
        <w:top w:val="none" w:sz="0" w:space="0" w:color="auto"/>
        <w:left w:val="none" w:sz="0" w:space="0" w:color="auto"/>
        <w:bottom w:val="none" w:sz="0" w:space="0" w:color="auto"/>
        <w:right w:val="none" w:sz="0" w:space="0" w:color="auto"/>
      </w:divBdr>
    </w:div>
    <w:div w:id="1178078878">
      <w:bodyDiv w:val="1"/>
      <w:marLeft w:val="0"/>
      <w:marRight w:val="0"/>
      <w:marTop w:val="0"/>
      <w:marBottom w:val="0"/>
      <w:divBdr>
        <w:top w:val="none" w:sz="0" w:space="0" w:color="auto"/>
        <w:left w:val="none" w:sz="0" w:space="0" w:color="auto"/>
        <w:bottom w:val="none" w:sz="0" w:space="0" w:color="auto"/>
        <w:right w:val="none" w:sz="0" w:space="0" w:color="auto"/>
      </w:divBdr>
    </w:div>
    <w:div w:id="1254775225">
      <w:bodyDiv w:val="1"/>
      <w:marLeft w:val="0"/>
      <w:marRight w:val="0"/>
      <w:marTop w:val="0"/>
      <w:marBottom w:val="0"/>
      <w:divBdr>
        <w:top w:val="none" w:sz="0" w:space="0" w:color="auto"/>
        <w:left w:val="none" w:sz="0" w:space="0" w:color="auto"/>
        <w:bottom w:val="none" w:sz="0" w:space="0" w:color="auto"/>
        <w:right w:val="none" w:sz="0" w:space="0" w:color="auto"/>
      </w:divBdr>
    </w:div>
    <w:div w:id="1268542776">
      <w:bodyDiv w:val="1"/>
      <w:marLeft w:val="0"/>
      <w:marRight w:val="0"/>
      <w:marTop w:val="0"/>
      <w:marBottom w:val="0"/>
      <w:divBdr>
        <w:top w:val="none" w:sz="0" w:space="0" w:color="auto"/>
        <w:left w:val="none" w:sz="0" w:space="0" w:color="auto"/>
        <w:bottom w:val="none" w:sz="0" w:space="0" w:color="auto"/>
        <w:right w:val="none" w:sz="0" w:space="0" w:color="auto"/>
      </w:divBdr>
    </w:div>
    <w:div w:id="1314946923">
      <w:bodyDiv w:val="1"/>
      <w:marLeft w:val="0"/>
      <w:marRight w:val="0"/>
      <w:marTop w:val="0"/>
      <w:marBottom w:val="0"/>
      <w:divBdr>
        <w:top w:val="none" w:sz="0" w:space="0" w:color="auto"/>
        <w:left w:val="none" w:sz="0" w:space="0" w:color="auto"/>
        <w:bottom w:val="none" w:sz="0" w:space="0" w:color="auto"/>
        <w:right w:val="none" w:sz="0" w:space="0" w:color="auto"/>
      </w:divBdr>
    </w:div>
    <w:div w:id="1326545635">
      <w:bodyDiv w:val="1"/>
      <w:marLeft w:val="0"/>
      <w:marRight w:val="0"/>
      <w:marTop w:val="0"/>
      <w:marBottom w:val="0"/>
      <w:divBdr>
        <w:top w:val="none" w:sz="0" w:space="0" w:color="auto"/>
        <w:left w:val="none" w:sz="0" w:space="0" w:color="auto"/>
        <w:bottom w:val="none" w:sz="0" w:space="0" w:color="auto"/>
        <w:right w:val="none" w:sz="0" w:space="0" w:color="auto"/>
      </w:divBdr>
      <w:divsChild>
        <w:div w:id="179971522">
          <w:marLeft w:val="432"/>
          <w:marRight w:val="0"/>
          <w:marTop w:val="50"/>
          <w:marBottom w:val="0"/>
          <w:divBdr>
            <w:top w:val="none" w:sz="0" w:space="0" w:color="auto"/>
            <w:left w:val="none" w:sz="0" w:space="0" w:color="auto"/>
            <w:bottom w:val="none" w:sz="0" w:space="0" w:color="auto"/>
            <w:right w:val="none" w:sz="0" w:space="0" w:color="auto"/>
          </w:divBdr>
        </w:div>
        <w:div w:id="1007100529">
          <w:marLeft w:val="432"/>
          <w:marRight w:val="0"/>
          <w:marTop w:val="50"/>
          <w:marBottom w:val="0"/>
          <w:divBdr>
            <w:top w:val="none" w:sz="0" w:space="0" w:color="auto"/>
            <w:left w:val="none" w:sz="0" w:space="0" w:color="auto"/>
            <w:bottom w:val="none" w:sz="0" w:space="0" w:color="auto"/>
            <w:right w:val="none" w:sz="0" w:space="0" w:color="auto"/>
          </w:divBdr>
        </w:div>
        <w:div w:id="1027753878">
          <w:marLeft w:val="432"/>
          <w:marRight w:val="0"/>
          <w:marTop w:val="50"/>
          <w:marBottom w:val="0"/>
          <w:divBdr>
            <w:top w:val="none" w:sz="0" w:space="0" w:color="auto"/>
            <w:left w:val="none" w:sz="0" w:space="0" w:color="auto"/>
            <w:bottom w:val="none" w:sz="0" w:space="0" w:color="auto"/>
            <w:right w:val="none" w:sz="0" w:space="0" w:color="auto"/>
          </w:divBdr>
        </w:div>
        <w:div w:id="1544977749">
          <w:marLeft w:val="432"/>
          <w:marRight w:val="0"/>
          <w:marTop w:val="50"/>
          <w:marBottom w:val="0"/>
          <w:divBdr>
            <w:top w:val="none" w:sz="0" w:space="0" w:color="auto"/>
            <w:left w:val="none" w:sz="0" w:space="0" w:color="auto"/>
            <w:bottom w:val="none" w:sz="0" w:space="0" w:color="auto"/>
            <w:right w:val="none" w:sz="0" w:space="0" w:color="auto"/>
          </w:divBdr>
        </w:div>
      </w:divsChild>
    </w:div>
    <w:div w:id="1338193099">
      <w:bodyDiv w:val="1"/>
      <w:marLeft w:val="0"/>
      <w:marRight w:val="0"/>
      <w:marTop w:val="0"/>
      <w:marBottom w:val="0"/>
      <w:divBdr>
        <w:top w:val="none" w:sz="0" w:space="0" w:color="auto"/>
        <w:left w:val="none" w:sz="0" w:space="0" w:color="auto"/>
        <w:bottom w:val="none" w:sz="0" w:space="0" w:color="auto"/>
        <w:right w:val="none" w:sz="0" w:space="0" w:color="auto"/>
      </w:divBdr>
      <w:divsChild>
        <w:div w:id="1206915696">
          <w:marLeft w:val="850"/>
          <w:marRight w:val="0"/>
          <w:marTop w:val="100"/>
          <w:marBottom w:val="0"/>
          <w:divBdr>
            <w:top w:val="none" w:sz="0" w:space="0" w:color="auto"/>
            <w:left w:val="none" w:sz="0" w:space="0" w:color="auto"/>
            <w:bottom w:val="none" w:sz="0" w:space="0" w:color="auto"/>
            <w:right w:val="none" w:sz="0" w:space="0" w:color="auto"/>
          </w:divBdr>
        </w:div>
        <w:div w:id="1441678136">
          <w:marLeft w:val="850"/>
          <w:marRight w:val="0"/>
          <w:marTop w:val="100"/>
          <w:marBottom w:val="0"/>
          <w:divBdr>
            <w:top w:val="none" w:sz="0" w:space="0" w:color="auto"/>
            <w:left w:val="none" w:sz="0" w:space="0" w:color="auto"/>
            <w:bottom w:val="none" w:sz="0" w:space="0" w:color="auto"/>
            <w:right w:val="none" w:sz="0" w:space="0" w:color="auto"/>
          </w:divBdr>
        </w:div>
        <w:div w:id="1534732149">
          <w:marLeft w:val="850"/>
          <w:marRight w:val="0"/>
          <w:marTop w:val="100"/>
          <w:marBottom w:val="0"/>
          <w:divBdr>
            <w:top w:val="none" w:sz="0" w:space="0" w:color="auto"/>
            <w:left w:val="none" w:sz="0" w:space="0" w:color="auto"/>
            <w:bottom w:val="none" w:sz="0" w:space="0" w:color="auto"/>
            <w:right w:val="none" w:sz="0" w:space="0" w:color="auto"/>
          </w:divBdr>
        </w:div>
      </w:divsChild>
    </w:div>
    <w:div w:id="1356617851">
      <w:bodyDiv w:val="1"/>
      <w:marLeft w:val="0"/>
      <w:marRight w:val="0"/>
      <w:marTop w:val="0"/>
      <w:marBottom w:val="0"/>
      <w:divBdr>
        <w:top w:val="none" w:sz="0" w:space="0" w:color="auto"/>
        <w:left w:val="none" w:sz="0" w:space="0" w:color="auto"/>
        <w:bottom w:val="none" w:sz="0" w:space="0" w:color="auto"/>
        <w:right w:val="none" w:sz="0" w:space="0" w:color="auto"/>
      </w:divBdr>
      <w:divsChild>
        <w:div w:id="120001863">
          <w:marLeft w:val="274"/>
          <w:marRight w:val="0"/>
          <w:marTop w:val="0"/>
          <w:marBottom w:val="0"/>
          <w:divBdr>
            <w:top w:val="none" w:sz="0" w:space="0" w:color="auto"/>
            <w:left w:val="none" w:sz="0" w:space="0" w:color="auto"/>
            <w:bottom w:val="none" w:sz="0" w:space="0" w:color="auto"/>
            <w:right w:val="none" w:sz="0" w:space="0" w:color="auto"/>
          </w:divBdr>
        </w:div>
        <w:div w:id="223368952">
          <w:marLeft w:val="274"/>
          <w:marRight w:val="0"/>
          <w:marTop w:val="0"/>
          <w:marBottom w:val="0"/>
          <w:divBdr>
            <w:top w:val="none" w:sz="0" w:space="0" w:color="auto"/>
            <w:left w:val="none" w:sz="0" w:space="0" w:color="auto"/>
            <w:bottom w:val="none" w:sz="0" w:space="0" w:color="auto"/>
            <w:right w:val="none" w:sz="0" w:space="0" w:color="auto"/>
          </w:divBdr>
        </w:div>
        <w:div w:id="233197719">
          <w:marLeft w:val="274"/>
          <w:marRight w:val="0"/>
          <w:marTop w:val="0"/>
          <w:marBottom w:val="0"/>
          <w:divBdr>
            <w:top w:val="none" w:sz="0" w:space="0" w:color="auto"/>
            <w:left w:val="none" w:sz="0" w:space="0" w:color="auto"/>
            <w:bottom w:val="none" w:sz="0" w:space="0" w:color="auto"/>
            <w:right w:val="none" w:sz="0" w:space="0" w:color="auto"/>
          </w:divBdr>
        </w:div>
        <w:div w:id="337774226">
          <w:marLeft w:val="274"/>
          <w:marRight w:val="0"/>
          <w:marTop w:val="0"/>
          <w:marBottom w:val="0"/>
          <w:divBdr>
            <w:top w:val="none" w:sz="0" w:space="0" w:color="auto"/>
            <w:left w:val="none" w:sz="0" w:space="0" w:color="auto"/>
            <w:bottom w:val="none" w:sz="0" w:space="0" w:color="auto"/>
            <w:right w:val="none" w:sz="0" w:space="0" w:color="auto"/>
          </w:divBdr>
        </w:div>
        <w:div w:id="634144985">
          <w:marLeft w:val="274"/>
          <w:marRight w:val="0"/>
          <w:marTop w:val="0"/>
          <w:marBottom w:val="0"/>
          <w:divBdr>
            <w:top w:val="none" w:sz="0" w:space="0" w:color="auto"/>
            <w:left w:val="none" w:sz="0" w:space="0" w:color="auto"/>
            <w:bottom w:val="none" w:sz="0" w:space="0" w:color="auto"/>
            <w:right w:val="none" w:sz="0" w:space="0" w:color="auto"/>
          </w:divBdr>
        </w:div>
        <w:div w:id="991837848">
          <w:marLeft w:val="274"/>
          <w:marRight w:val="0"/>
          <w:marTop w:val="0"/>
          <w:marBottom w:val="0"/>
          <w:divBdr>
            <w:top w:val="none" w:sz="0" w:space="0" w:color="auto"/>
            <w:left w:val="none" w:sz="0" w:space="0" w:color="auto"/>
            <w:bottom w:val="none" w:sz="0" w:space="0" w:color="auto"/>
            <w:right w:val="none" w:sz="0" w:space="0" w:color="auto"/>
          </w:divBdr>
        </w:div>
        <w:div w:id="1043215533">
          <w:marLeft w:val="274"/>
          <w:marRight w:val="0"/>
          <w:marTop w:val="0"/>
          <w:marBottom w:val="0"/>
          <w:divBdr>
            <w:top w:val="none" w:sz="0" w:space="0" w:color="auto"/>
            <w:left w:val="none" w:sz="0" w:space="0" w:color="auto"/>
            <w:bottom w:val="none" w:sz="0" w:space="0" w:color="auto"/>
            <w:right w:val="none" w:sz="0" w:space="0" w:color="auto"/>
          </w:divBdr>
        </w:div>
      </w:divsChild>
    </w:div>
    <w:div w:id="1419861542">
      <w:bodyDiv w:val="1"/>
      <w:marLeft w:val="0"/>
      <w:marRight w:val="0"/>
      <w:marTop w:val="0"/>
      <w:marBottom w:val="0"/>
      <w:divBdr>
        <w:top w:val="none" w:sz="0" w:space="0" w:color="auto"/>
        <w:left w:val="none" w:sz="0" w:space="0" w:color="auto"/>
        <w:bottom w:val="none" w:sz="0" w:space="0" w:color="auto"/>
        <w:right w:val="none" w:sz="0" w:space="0" w:color="auto"/>
      </w:divBdr>
    </w:div>
    <w:div w:id="1431008454">
      <w:bodyDiv w:val="1"/>
      <w:marLeft w:val="0"/>
      <w:marRight w:val="0"/>
      <w:marTop w:val="0"/>
      <w:marBottom w:val="0"/>
      <w:divBdr>
        <w:top w:val="none" w:sz="0" w:space="0" w:color="auto"/>
        <w:left w:val="none" w:sz="0" w:space="0" w:color="auto"/>
        <w:bottom w:val="none" w:sz="0" w:space="0" w:color="auto"/>
        <w:right w:val="none" w:sz="0" w:space="0" w:color="auto"/>
      </w:divBdr>
    </w:div>
    <w:div w:id="1433866549">
      <w:bodyDiv w:val="1"/>
      <w:marLeft w:val="0"/>
      <w:marRight w:val="0"/>
      <w:marTop w:val="0"/>
      <w:marBottom w:val="0"/>
      <w:divBdr>
        <w:top w:val="none" w:sz="0" w:space="0" w:color="auto"/>
        <w:left w:val="none" w:sz="0" w:space="0" w:color="auto"/>
        <w:bottom w:val="none" w:sz="0" w:space="0" w:color="auto"/>
        <w:right w:val="none" w:sz="0" w:space="0" w:color="auto"/>
      </w:divBdr>
    </w:div>
    <w:div w:id="1444180787">
      <w:bodyDiv w:val="1"/>
      <w:marLeft w:val="0"/>
      <w:marRight w:val="0"/>
      <w:marTop w:val="0"/>
      <w:marBottom w:val="0"/>
      <w:divBdr>
        <w:top w:val="none" w:sz="0" w:space="0" w:color="auto"/>
        <w:left w:val="none" w:sz="0" w:space="0" w:color="auto"/>
        <w:bottom w:val="none" w:sz="0" w:space="0" w:color="auto"/>
        <w:right w:val="none" w:sz="0" w:space="0" w:color="auto"/>
      </w:divBdr>
    </w:div>
    <w:div w:id="1459566913">
      <w:bodyDiv w:val="1"/>
      <w:marLeft w:val="0"/>
      <w:marRight w:val="0"/>
      <w:marTop w:val="0"/>
      <w:marBottom w:val="0"/>
      <w:divBdr>
        <w:top w:val="none" w:sz="0" w:space="0" w:color="auto"/>
        <w:left w:val="none" w:sz="0" w:space="0" w:color="auto"/>
        <w:bottom w:val="none" w:sz="0" w:space="0" w:color="auto"/>
        <w:right w:val="none" w:sz="0" w:space="0" w:color="auto"/>
      </w:divBdr>
    </w:div>
    <w:div w:id="1497106794">
      <w:bodyDiv w:val="1"/>
      <w:marLeft w:val="0"/>
      <w:marRight w:val="0"/>
      <w:marTop w:val="0"/>
      <w:marBottom w:val="0"/>
      <w:divBdr>
        <w:top w:val="none" w:sz="0" w:space="0" w:color="auto"/>
        <w:left w:val="none" w:sz="0" w:space="0" w:color="auto"/>
        <w:bottom w:val="none" w:sz="0" w:space="0" w:color="auto"/>
        <w:right w:val="none" w:sz="0" w:space="0" w:color="auto"/>
      </w:divBdr>
    </w:div>
    <w:div w:id="1511065132">
      <w:bodyDiv w:val="1"/>
      <w:marLeft w:val="0"/>
      <w:marRight w:val="0"/>
      <w:marTop w:val="0"/>
      <w:marBottom w:val="0"/>
      <w:divBdr>
        <w:top w:val="none" w:sz="0" w:space="0" w:color="auto"/>
        <w:left w:val="none" w:sz="0" w:space="0" w:color="auto"/>
        <w:bottom w:val="none" w:sz="0" w:space="0" w:color="auto"/>
        <w:right w:val="none" w:sz="0" w:space="0" w:color="auto"/>
      </w:divBdr>
    </w:div>
    <w:div w:id="1522889441">
      <w:bodyDiv w:val="1"/>
      <w:marLeft w:val="0"/>
      <w:marRight w:val="0"/>
      <w:marTop w:val="0"/>
      <w:marBottom w:val="0"/>
      <w:divBdr>
        <w:top w:val="none" w:sz="0" w:space="0" w:color="auto"/>
        <w:left w:val="none" w:sz="0" w:space="0" w:color="auto"/>
        <w:bottom w:val="none" w:sz="0" w:space="0" w:color="auto"/>
        <w:right w:val="none" w:sz="0" w:space="0" w:color="auto"/>
      </w:divBdr>
    </w:div>
    <w:div w:id="1545099802">
      <w:bodyDiv w:val="1"/>
      <w:marLeft w:val="0"/>
      <w:marRight w:val="0"/>
      <w:marTop w:val="0"/>
      <w:marBottom w:val="0"/>
      <w:divBdr>
        <w:top w:val="none" w:sz="0" w:space="0" w:color="auto"/>
        <w:left w:val="none" w:sz="0" w:space="0" w:color="auto"/>
        <w:bottom w:val="none" w:sz="0" w:space="0" w:color="auto"/>
        <w:right w:val="none" w:sz="0" w:space="0" w:color="auto"/>
      </w:divBdr>
      <w:divsChild>
        <w:div w:id="418796405">
          <w:marLeft w:val="547"/>
          <w:marRight w:val="0"/>
          <w:marTop w:val="60"/>
          <w:marBottom w:val="60"/>
          <w:divBdr>
            <w:top w:val="none" w:sz="0" w:space="0" w:color="auto"/>
            <w:left w:val="none" w:sz="0" w:space="0" w:color="auto"/>
            <w:bottom w:val="none" w:sz="0" w:space="0" w:color="auto"/>
            <w:right w:val="none" w:sz="0" w:space="0" w:color="auto"/>
          </w:divBdr>
        </w:div>
        <w:div w:id="1964572972">
          <w:marLeft w:val="547"/>
          <w:marRight w:val="0"/>
          <w:marTop w:val="60"/>
          <w:marBottom w:val="60"/>
          <w:divBdr>
            <w:top w:val="none" w:sz="0" w:space="0" w:color="auto"/>
            <w:left w:val="none" w:sz="0" w:space="0" w:color="auto"/>
            <w:bottom w:val="none" w:sz="0" w:space="0" w:color="auto"/>
            <w:right w:val="none" w:sz="0" w:space="0" w:color="auto"/>
          </w:divBdr>
        </w:div>
      </w:divsChild>
    </w:div>
    <w:div w:id="1557662266">
      <w:bodyDiv w:val="1"/>
      <w:marLeft w:val="0"/>
      <w:marRight w:val="0"/>
      <w:marTop w:val="0"/>
      <w:marBottom w:val="0"/>
      <w:divBdr>
        <w:top w:val="none" w:sz="0" w:space="0" w:color="auto"/>
        <w:left w:val="none" w:sz="0" w:space="0" w:color="auto"/>
        <w:bottom w:val="none" w:sz="0" w:space="0" w:color="auto"/>
        <w:right w:val="none" w:sz="0" w:space="0" w:color="auto"/>
      </w:divBdr>
    </w:div>
    <w:div w:id="1598175890">
      <w:bodyDiv w:val="1"/>
      <w:marLeft w:val="0"/>
      <w:marRight w:val="0"/>
      <w:marTop w:val="0"/>
      <w:marBottom w:val="0"/>
      <w:divBdr>
        <w:top w:val="none" w:sz="0" w:space="0" w:color="auto"/>
        <w:left w:val="none" w:sz="0" w:space="0" w:color="auto"/>
        <w:bottom w:val="none" w:sz="0" w:space="0" w:color="auto"/>
        <w:right w:val="none" w:sz="0" w:space="0" w:color="auto"/>
      </w:divBdr>
    </w:div>
    <w:div w:id="1608270384">
      <w:bodyDiv w:val="1"/>
      <w:marLeft w:val="0"/>
      <w:marRight w:val="0"/>
      <w:marTop w:val="0"/>
      <w:marBottom w:val="0"/>
      <w:divBdr>
        <w:top w:val="none" w:sz="0" w:space="0" w:color="auto"/>
        <w:left w:val="none" w:sz="0" w:space="0" w:color="auto"/>
        <w:bottom w:val="none" w:sz="0" w:space="0" w:color="auto"/>
        <w:right w:val="none" w:sz="0" w:space="0" w:color="auto"/>
      </w:divBdr>
    </w:div>
    <w:div w:id="1679694739">
      <w:bodyDiv w:val="1"/>
      <w:marLeft w:val="0"/>
      <w:marRight w:val="0"/>
      <w:marTop w:val="0"/>
      <w:marBottom w:val="0"/>
      <w:divBdr>
        <w:top w:val="none" w:sz="0" w:space="0" w:color="auto"/>
        <w:left w:val="none" w:sz="0" w:space="0" w:color="auto"/>
        <w:bottom w:val="none" w:sz="0" w:space="0" w:color="auto"/>
        <w:right w:val="none" w:sz="0" w:space="0" w:color="auto"/>
      </w:divBdr>
    </w:div>
    <w:div w:id="1689215877">
      <w:bodyDiv w:val="1"/>
      <w:marLeft w:val="0"/>
      <w:marRight w:val="0"/>
      <w:marTop w:val="0"/>
      <w:marBottom w:val="0"/>
      <w:divBdr>
        <w:top w:val="none" w:sz="0" w:space="0" w:color="auto"/>
        <w:left w:val="none" w:sz="0" w:space="0" w:color="auto"/>
        <w:bottom w:val="none" w:sz="0" w:space="0" w:color="auto"/>
        <w:right w:val="none" w:sz="0" w:space="0" w:color="auto"/>
      </w:divBdr>
    </w:div>
    <w:div w:id="1695181585">
      <w:bodyDiv w:val="1"/>
      <w:marLeft w:val="0"/>
      <w:marRight w:val="0"/>
      <w:marTop w:val="0"/>
      <w:marBottom w:val="0"/>
      <w:divBdr>
        <w:top w:val="none" w:sz="0" w:space="0" w:color="auto"/>
        <w:left w:val="none" w:sz="0" w:space="0" w:color="auto"/>
        <w:bottom w:val="none" w:sz="0" w:space="0" w:color="auto"/>
        <w:right w:val="none" w:sz="0" w:space="0" w:color="auto"/>
      </w:divBdr>
      <w:divsChild>
        <w:div w:id="387387913">
          <w:marLeft w:val="547"/>
          <w:marRight w:val="0"/>
          <w:marTop w:val="60"/>
          <w:marBottom w:val="60"/>
          <w:divBdr>
            <w:top w:val="none" w:sz="0" w:space="0" w:color="auto"/>
            <w:left w:val="none" w:sz="0" w:space="0" w:color="auto"/>
            <w:bottom w:val="none" w:sz="0" w:space="0" w:color="auto"/>
            <w:right w:val="none" w:sz="0" w:space="0" w:color="auto"/>
          </w:divBdr>
        </w:div>
        <w:div w:id="1667200292">
          <w:marLeft w:val="547"/>
          <w:marRight w:val="0"/>
          <w:marTop w:val="60"/>
          <w:marBottom w:val="60"/>
          <w:divBdr>
            <w:top w:val="none" w:sz="0" w:space="0" w:color="auto"/>
            <w:left w:val="none" w:sz="0" w:space="0" w:color="auto"/>
            <w:bottom w:val="none" w:sz="0" w:space="0" w:color="auto"/>
            <w:right w:val="none" w:sz="0" w:space="0" w:color="auto"/>
          </w:divBdr>
        </w:div>
        <w:div w:id="1942376286">
          <w:marLeft w:val="547"/>
          <w:marRight w:val="0"/>
          <w:marTop w:val="60"/>
          <w:marBottom w:val="60"/>
          <w:divBdr>
            <w:top w:val="none" w:sz="0" w:space="0" w:color="auto"/>
            <w:left w:val="none" w:sz="0" w:space="0" w:color="auto"/>
            <w:bottom w:val="none" w:sz="0" w:space="0" w:color="auto"/>
            <w:right w:val="none" w:sz="0" w:space="0" w:color="auto"/>
          </w:divBdr>
        </w:div>
        <w:div w:id="2100980898">
          <w:marLeft w:val="547"/>
          <w:marRight w:val="0"/>
          <w:marTop w:val="60"/>
          <w:marBottom w:val="60"/>
          <w:divBdr>
            <w:top w:val="none" w:sz="0" w:space="0" w:color="auto"/>
            <w:left w:val="none" w:sz="0" w:space="0" w:color="auto"/>
            <w:bottom w:val="none" w:sz="0" w:space="0" w:color="auto"/>
            <w:right w:val="none" w:sz="0" w:space="0" w:color="auto"/>
          </w:divBdr>
        </w:div>
      </w:divsChild>
    </w:div>
    <w:div w:id="1713191298">
      <w:bodyDiv w:val="1"/>
      <w:marLeft w:val="0"/>
      <w:marRight w:val="0"/>
      <w:marTop w:val="0"/>
      <w:marBottom w:val="0"/>
      <w:divBdr>
        <w:top w:val="none" w:sz="0" w:space="0" w:color="auto"/>
        <w:left w:val="none" w:sz="0" w:space="0" w:color="auto"/>
        <w:bottom w:val="none" w:sz="0" w:space="0" w:color="auto"/>
        <w:right w:val="none" w:sz="0" w:space="0" w:color="auto"/>
      </w:divBdr>
    </w:div>
    <w:div w:id="1714185164">
      <w:bodyDiv w:val="1"/>
      <w:marLeft w:val="0"/>
      <w:marRight w:val="0"/>
      <w:marTop w:val="0"/>
      <w:marBottom w:val="0"/>
      <w:divBdr>
        <w:top w:val="none" w:sz="0" w:space="0" w:color="auto"/>
        <w:left w:val="none" w:sz="0" w:space="0" w:color="auto"/>
        <w:bottom w:val="none" w:sz="0" w:space="0" w:color="auto"/>
        <w:right w:val="none" w:sz="0" w:space="0" w:color="auto"/>
      </w:divBdr>
      <w:divsChild>
        <w:div w:id="437871292">
          <w:marLeft w:val="850"/>
          <w:marRight w:val="0"/>
          <w:marTop w:val="100"/>
          <w:marBottom w:val="0"/>
          <w:divBdr>
            <w:top w:val="none" w:sz="0" w:space="0" w:color="auto"/>
            <w:left w:val="none" w:sz="0" w:space="0" w:color="auto"/>
            <w:bottom w:val="none" w:sz="0" w:space="0" w:color="auto"/>
            <w:right w:val="none" w:sz="0" w:space="0" w:color="auto"/>
          </w:divBdr>
        </w:div>
        <w:div w:id="1175535423">
          <w:marLeft w:val="850"/>
          <w:marRight w:val="0"/>
          <w:marTop w:val="100"/>
          <w:marBottom w:val="0"/>
          <w:divBdr>
            <w:top w:val="none" w:sz="0" w:space="0" w:color="auto"/>
            <w:left w:val="none" w:sz="0" w:space="0" w:color="auto"/>
            <w:bottom w:val="none" w:sz="0" w:space="0" w:color="auto"/>
            <w:right w:val="none" w:sz="0" w:space="0" w:color="auto"/>
          </w:divBdr>
        </w:div>
        <w:div w:id="1916167151">
          <w:marLeft w:val="850"/>
          <w:marRight w:val="0"/>
          <w:marTop w:val="100"/>
          <w:marBottom w:val="0"/>
          <w:divBdr>
            <w:top w:val="none" w:sz="0" w:space="0" w:color="auto"/>
            <w:left w:val="none" w:sz="0" w:space="0" w:color="auto"/>
            <w:bottom w:val="none" w:sz="0" w:space="0" w:color="auto"/>
            <w:right w:val="none" w:sz="0" w:space="0" w:color="auto"/>
          </w:divBdr>
        </w:div>
      </w:divsChild>
    </w:div>
    <w:div w:id="1722556000">
      <w:bodyDiv w:val="1"/>
      <w:marLeft w:val="0"/>
      <w:marRight w:val="0"/>
      <w:marTop w:val="0"/>
      <w:marBottom w:val="0"/>
      <w:divBdr>
        <w:top w:val="none" w:sz="0" w:space="0" w:color="auto"/>
        <w:left w:val="none" w:sz="0" w:space="0" w:color="auto"/>
        <w:bottom w:val="none" w:sz="0" w:space="0" w:color="auto"/>
        <w:right w:val="none" w:sz="0" w:space="0" w:color="auto"/>
      </w:divBdr>
    </w:div>
    <w:div w:id="1738239345">
      <w:bodyDiv w:val="1"/>
      <w:marLeft w:val="0"/>
      <w:marRight w:val="0"/>
      <w:marTop w:val="0"/>
      <w:marBottom w:val="0"/>
      <w:divBdr>
        <w:top w:val="none" w:sz="0" w:space="0" w:color="auto"/>
        <w:left w:val="none" w:sz="0" w:space="0" w:color="auto"/>
        <w:bottom w:val="none" w:sz="0" w:space="0" w:color="auto"/>
        <w:right w:val="none" w:sz="0" w:space="0" w:color="auto"/>
      </w:divBdr>
    </w:div>
    <w:div w:id="1739476591">
      <w:bodyDiv w:val="1"/>
      <w:marLeft w:val="0"/>
      <w:marRight w:val="0"/>
      <w:marTop w:val="0"/>
      <w:marBottom w:val="0"/>
      <w:divBdr>
        <w:top w:val="none" w:sz="0" w:space="0" w:color="auto"/>
        <w:left w:val="none" w:sz="0" w:space="0" w:color="auto"/>
        <w:bottom w:val="none" w:sz="0" w:space="0" w:color="auto"/>
        <w:right w:val="none" w:sz="0" w:space="0" w:color="auto"/>
      </w:divBdr>
      <w:divsChild>
        <w:div w:id="337733274">
          <w:marLeft w:val="547"/>
          <w:marRight w:val="0"/>
          <w:marTop w:val="60"/>
          <w:marBottom w:val="60"/>
          <w:divBdr>
            <w:top w:val="none" w:sz="0" w:space="0" w:color="auto"/>
            <w:left w:val="none" w:sz="0" w:space="0" w:color="auto"/>
            <w:bottom w:val="none" w:sz="0" w:space="0" w:color="auto"/>
            <w:right w:val="none" w:sz="0" w:space="0" w:color="auto"/>
          </w:divBdr>
        </w:div>
        <w:div w:id="634330303">
          <w:marLeft w:val="547"/>
          <w:marRight w:val="0"/>
          <w:marTop w:val="60"/>
          <w:marBottom w:val="60"/>
          <w:divBdr>
            <w:top w:val="none" w:sz="0" w:space="0" w:color="auto"/>
            <w:left w:val="none" w:sz="0" w:space="0" w:color="auto"/>
            <w:bottom w:val="none" w:sz="0" w:space="0" w:color="auto"/>
            <w:right w:val="none" w:sz="0" w:space="0" w:color="auto"/>
          </w:divBdr>
        </w:div>
        <w:div w:id="811335829">
          <w:marLeft w:val="547"/>
          <w:marRight w:val="0"/>
          <w:marTop w:val="60"/>
          <w:marBottom w:val="60"/>
          <w:divBdr>
            <w:top w:val="none" w:sz="0" w:space="0" w:color="auto"/>
            <w:left w:val="none" w:sz="0" w:space="0" w:color="auto"/>
            <w:bottom w:val="none" w:sz="0" w:space="0" w:color="auto"/>
            <w:right w:val="none" w:sz="0" w:space="0" w:color="auto"/>
          </w:divBdr>
        </w:div>
        <w:div w:id="1203128722">
          <w:marLeft w:val="547"/>
          <w:marRight w:val="0"/>
          <w:marTop w:val="60"/>
          <w:marBottom w:val="60"/>
          <w:divBdr>
            <w:top w:val="none" w:sz="0" w:space="0" w:color="auto"/>
            <w:left w:val="none" w:sz="0" w:space="0" w:color="auto"/>
            <w:bottom w:val="none" w:sz="0" w:space="0" w:color="auto"/>
            <w:right w:val="none" w:sz="0" w:space="0" w:color="auto"/>
          </w:divBdr>
        </w:div>
        <w:div w:id="1552182518">
          <w:marLeft w:val="547"/>
          <w:marRight w:val="0"/>
          <w:marTop w:val="60"/>
          <w:marBottom w:val="60"/>
          <w:divBdr>
            <w:top w:val="none" w:sz="0" w:space="0" w:color="auto"/>
            <w:left w:val="none" w:sz="0" w:space="0" w:color="auto"/>
            <w:bottom w:val="none" w:sz="0" w:space="0" w:color="auto"/>
            <w:right w:val="none" w:sz="0" w:space="0" w:color="auto"/>
          </w:divBdr>
        </w:div>
      </w:divsChild>
    </w:div>
    <w:div w:id="1742947396">
      <w:bodyDiv w:val="1"/>
      <w:marLeft w:val="0"/>
      <w:marRight w:val="0"/>
      <w:marTop w:val="0"/>
      <w:marBottom w:val="0"/>
      <w:divBdr>
        <w:top w:val="none" w:sz="0" w:space="0" w:color="auto"/>
        <w:left w:val="none" w:sz="0" w:space="0" w:color="auto"/>
        <w:bottom w:val="none" w:sz="0" w:space="0" w:color="auto"/>
        <w:right w:val="none" w:sz="0" w:space="0" w:color="auto"/>
      </w:divBdr>
    </w:div>
    <w:div w:id="1749843256">
      <w:bodyDiv w:val="1"/>
      <w:marLeft w:val="0"/>
      <w:marRight w:val="0"/>
      <w:marTop w:val="0"/>
      <w:marBottom w:val="0"/>
      <w:divBdr>
        <w:top w:val="none" w:sz="0" w:space="0" w:color="auto"/>
        <w:left w:val="none" w:sz="0" w:space="0" w:color="auto"/>
        <w:bottom w:val="none" w:sz="0" w:space="0" w:color="auto"/>
        <w:right w:val="none" w:sz="0" w:space="0" w:color="auto"/>
      </w:divBdr>
    </w:div>
    <w:div w:id="1753550264">
      <w:bodyDiv w:val="1"/>
      <w:marLeft w:val="0"/>
      <w:marRight w:val="0"/>
      <w:marTop w:val="0"/>
      <w:marBottom w:val="0"/>
      <w:divBdr>
        <w:top w:val="none" w:sz="0" w:space="0" w:color="auto"/>
        <w:left w:val="none" w:sz="0" w:space="0" w:color="auto"/>
        <w:bottom w:val="none" w:sz="0" w:space="0" w:color="auto"/>
        <w:right w:val="none" w:sz="0" w:space="0" w:color="auto"/>
      </w:divBdr>
    </w:div>
    <w:div w:id="1758403075">
      <w:bodyDiv w:val="1"/>
      <w:marLeft w:val="0"/>
      <w:marRight w:val="0"/>
      <w:marTop w:val="0"/>
      <w:marBottom w:val="0"/>
      <w:divBdr>
        <w:top w:val="none" w:sz="0" w:space="0" w:color="auto"/>
        <w:left w:val="none" w:sz="0" w:space="0" w:color="auto"/>
        <w:bottom w:val="none" w:sz="0" w:space="0" w:color="auto"/>
        <w:right w:val="none" w:sz="0" w:space="0" w:color="auto"/>
      </w:divBdr>
      <w:divsChild>
        <w:div w:id="992179686">
          <w:marLeft w:val="850"/>
          <w:marRight w:val="0"/>
          <w:marTop w:val="100"/>
          <w:marBottom w:val="0"/>
          <w:divBdr>
            <w:top w:val="none" w:sz="0" w:space="0" w:color="auto"/>
            <w:left w:val="none" w:sz="0" w:space="0" w:color="auto"/>
            <w:bottom w:val="none" w:sz="0" w:space="0" w:color="auto"/>
            <w:right w:val="none" w:sz="0" w:space="0" w:color="auto"/>
          </w:divBdr>
        </w:div>
        <w:div w:id="1736704873">
          <w:marLeft w:val="850"/>
          <w:marRight w:val="0"/>
          <w:marTop w:val="100"/>
          <w:marBottom w:val="0"/>
          <w:divBdr>
            <w:top w:val="none" w:sz="0" w:space="0" w:color="auto"/>
            <w:left w:val="none" w:sz="0" w:space="0" w:color="auto"/>
            <w:bottom w:val="none" w:sz="0" w:space="0" w:color="auto"/>
            <w:right w:val="none" w:sz="0" w:space="0" w:color="auto"/>
          </w:divBdr>
        </w:div>
        <w:div w:id="1775394851">
          <w:marLeft w:val="850"/>
          <w:marRight w:val="0"/>
          <w:marTop w:val="100"/>
          <w:marBottom w:val="0"/>
          <w:divBdr>
            <w:top w:val="none" w:sz="0" w:space="0" w:color="auto"/>
            <w:left w:val="none" w:sz="0" w:space="0" w:color="auto"/>
            <w:bottom w:val="none" w:sz="0" w:space="0" w:color="auto"/>
            <w:right w:val="none" w:sz="0" w:space="0" w:color="auto"/>
          </w:divBdr>
        </w:div>
      </w:divsChild>
    </w:div>
    <w:div w:id="1763450948">
      <w:bodyDiv w:val="1"/>
      <w:marLeft w:val="0"/>
      <w:marRight w:val="0"/>
      <w:marTop w:val="0"/>
      <w:marBottom w:val="0"/>
      <w:divBdr>
        <w:top w:val="none" w:sz="0" w:space="0" w:color="auto"/>
        <w:left w:val="none" w:sz="0" w:space="0" w:color="auto"/>
        <w:bottom w:val="none" w:sz="0" w:space="0" w:color="auto"/>
        <w:right w:val="none" w:sz="0" w:space="0" w:color="auto"/>
      </w:divBdr>
    </w:div>
    <w:div w:id="1793817387">
      <w:bodyDiv w:val="1"/>
      <w:marLeft w:val="0"/>
      <w:marRight w:val="0"/>
      <w:marTop w:val="0"/>
      <w:marBottom w:val="0"/>
      <w:divBdr>
        <w:top w:val="none" w:sz="0" w:space="0" w:color="auto"/>
        <w:left w:val="none" w:sz="0" w:space="0" w:color="auto"/>
        <w:bottom w:val="none" w:sz="0" w:space="0" w:color="auto"/>
        <w:right w:val="none" w:sz="0" w:space="0" w:color="auto"/>
      </w:divBdr>
    </w:div>
    <w:div w:id="1798453702">
      <w:bodyDiv w:val="1"/>
      <w:marLeft w:val="0"/>
      <w:marRight w:val="0"/>
      <w:marTop w:val="0"/>
      <w:marBottom w:val="0"/>
      <w:divBdr>
        <w:top w:val="none" w:sz="0" w:space="0" w:color="auto"/>
        <w:left w:val="none" w:sz="0" w:space="0" w:color="auto"/>
        <w:bottom w:val="none" w:sz="0" w:space="0" w:color="auto"/>
        <w:right w:val="none" w:sz="0" w:space="0" w:color="auto"/>
      </w:divBdr>
      <w:divsChild>
        <w:div w:id="393281952">
          <w:marLeft w:val="547"/>
          <w:marRight w:val="0"/>
          <w:marTop w:val="0"/>
          <w:marBottom w:val="0"/>
          <w:divBdr>
            <w:top w:val="none" w:sz="0" w:space="0" w:color="auto"/>
            <w:left w:val="none" w:sz="0" w:space="0" w:color="auto"/>
            <w:bottom w:val="none" w:sz="0" w:space="0" w:color="auto"/>
            <w:right w:val="none" w:sz="0" w:space="0" w:color="auto"/>
          </w:divBdr>
        </w:div>
      </w:divsChild>
    </w:div>
    <w:div w:id="1822690326">
      <w:bodyDiv w:val="1"/>
      <w:marLeft w:val="0"/>
      <w:marRight w:val="0"/>
      <w:marTop w:val="0"/>
      <w:marBottom w:val="0"/>
      <w:divBdr>
        <w:top w:val="none" w:sz="0" w:space="0" w:color="auto"/>
        <w:left w:val="none" w:sz="0" w:space="0" w:color="auto"/>
        <w:bottom w:val="none" w:sz="0" w:space="0" w:color="auto"/>
        <w:right w:val="none" w:sz="0" w:space="0" w:color="auto"/>
      </w:divBdr>
      <w:divsChild>
        <w:div w:id="332227340">
          <w:marLeft w:val="547"/>
          <w:marRight w:val="0"/>
          <w:marTop w:val="60"/>
          <w:marBottom w:val="60"/>
          <w:divBdr>
            <w:top w:val="none" w:sz="0" w:space="0" w:color="auto"/>
            <w:left w:val="none" w:sz="0" w:space="0" w:color="auto"/>
            <w:bottom w:val="none" w:sz="0" w:space="0" w:color="auto"/>
            <w:right w:val="none" w:sz="0" w:space="0" w:color="auto"/>
          </w:divBdr>
        </w:div>
      </w:divsChild>
    </w:div>
    <w:div w:id="1832672826">
      <w:bodyDiv w:val="1"/>
      <w:marLeft w:val="0"/>
      <w:marRight w:val="0"/>
      <w:marTop w:val="0"/>
      <w:marBottom w:val="0"/>
      <w:divBdr>
        <w:top w:val="none" w:sz="0" w:space="0" w:color="auto"/>
        <w:left w:val="none" w:sz="0" w:space="0" w:color="auto"/>
        <w:bottom w:val="none" w:sz="0" w:space="0" w:color="auto"/>
        <w:right w:val="none" w:sz="0" w:space="0" w:color="auto"/>
      </w:divBdr>
      <w:divsChild>
        <w:div w:id="75714361">
          <w:marLeft w:val="446"/>
          <w:marRight w:val="0"/>
          <w:marTop w:val="0"/>
          <w:marBottom w:val="160"/>
          <w:divBdr>
            <w:top w:val="none" w:sz="0" w:space="0" w:color="auto"/>
            <w:left w:val="none" w:sz="0" w:space="0" w:color="auto"/>
            <w:bottom w:val="none" w:sz="0" w:space="0" w:color="auto"/>
            <w:right w:val="none" w:sz="0" w:space="0" w:color="auto"/>
          </w:divBdr>
        </w:div>
        <w:div w:id="428626656">
          <w:marLeft w:val="446"/>
          <w:marRight w:val="0"/>
          <w:marTop w:val="0"/>
          <w:marBottom w:val="160"/>
          <w:divBdr>
            <w:top w:val="none" w:sz="0" w:space="0" w:color="auto"/>
            <w:left w:val="none" w:sz="0" w:space="0" w:color="auto"/>
            <w:bottom w:val="none" w:sz="0" w:space="0" w:color="auto"/>
            <w:right w:val="none" w:sz="0" w:space="0" w:color="auto"/>
          </w:divBdr>
        </w:div>
        <w:div w:id="1052657068">
          <w:marLeft w:val="446"/>
          <w:marRight w:val="0"/>
          <w:marTop w:val="0"/>
          <w:marBottom w:val="160"/>
          <w:divBdr>
            <w:top w:val="none" w:sz="0" w:space="0" w:color="auto"/>
            <w:left w:val="none" w:sz="0" w:space="0" w:color="auto"/>
            <w:bottom w:val="none" w:sz="0" w:space="0" w:color="auto"/>
            <w:right w:val="none" w:sz="0" w:space="0" w:color="auto"/>
          </w:divBdr>
        </w:div>
        <w:div w:id="1270120364">
          <w:marLeft w:val="446"/>
          <w:marRight w:val="0"/>
          <w:marTop w:val="0"/>
          <w:marBottom w:val="160"/>
          <w:divBdr>
            <w:top w:val="none" w:sz="0" w:space="0" w:color="auto"/>
            <w:left w:val="none" w:sz="0" w:space="0" w:color="auto"/>
            <w:bottom w:val="none" w:sz="0" w:space="0" w:color="auto"/>
            <w:right w:val="none" w:sz="0" w:space="0" w:color="auto"/>
          </w:divBdr>
        </w:div>
        <w:div w:id="1389844223">
          <w:marLeft w:val="446"/>
          <w:marRight w:val="0"/>
          <w:marTop w:val="0"/>
          <w:marBottom w:val="160"/>
          <w:divBdr>
            <w:top w:val="none" w:sz="0" w:space="0" w:color="auto"/>
            <w:left w:val="none" w:sz="0" w:space="0" w:color="auto"/>
            <w:bottom w:val="none" w:sz="0" w:space="0" w:color="auto"/>
            <w:right w:val="none" w:sz="0" w:space="0" w:color="auto"/>
          </w:divBdr>
        </w:div>
        <w:div w:id="1938633210">
          <w:marLeft w:val="446"/>
          <w:marRight w:val="0"/>
          <w:marTop w:val="0"/>
          <w:marBottom w:val="160"/>
          <w:divBdr>
            <w:top w:val="none" w:sz="0" w:space="0" w:color="auto"/>
            <w:left w:val="none" w:sz="0" w:space="0" w:color="auto"/>
            <w:bottom w:val="none" w:sz="0" w:space="0" w:color="auto"/>
            <w:right w:val="none" w:sz="0" w:space="0" w:color="auto"/>
          </w:divBdr>
        </w:div>
        <w:div w:id="1990666004">
          <w:marLeft w:val="446"/>
          <w:marRight w:val="0"/>
          <w:marTop w:val="0"/>
          <w:marBottom w:val="160"/>
          <w:divBdr>
            <w:top w:val="none" w:sz="0" w:space="0" w:color="auto"/>
            <w:left w:val="none" w:sz="0" w:space="0" w:color="auto"/>
            <w:bottom w:val="none" w:sz="0" w:space="0" w:color="auto"/>
            <w:right w:val="none" w:sz="0" w:space="0" w:color="auto"/>
          </w:divBdr>
        </w:div>
      </w:divsChild>
    </w:div>
    <w:div w:id="1848134251">
      <w:bodyDiv w:val="1"/>
      <w:marLeft w:val="0"/>
      <w:marRight w:val="0"/>
      <w:marTop w:val="0"/>
      <w:marBottom w:val="0"/>
      <w:divBdr>
        <w:top w:val="none" w:sz="0" w:space="0" w:color="auto"/>
        <w:left w:val="none" w:sz="0" w:space="0" w:color="auto"/>
        <w:bottom w:val="none" w:sz="0" w:space="0" w:color="auto"/>
        <w:right w:val="none" w:sz="0" w:space="0" w:color="auto"/>
      </w:divBdr>
      <w:divsChild>
        <w:div w:id="487134122">
          <w:marLeft w:val="274"/>
          <w:marRight w:val="0"/>
          <w:marTop w:val="0"/>
          <w:marBottom w:val="100"/>
          <w:divBdr>
            <w:top w:val="none" w:sz="0" w:space="0" w:color="auto"/>
            <w:left w:val="none" w:sz="0" w:space="0" w:color="auto"/>
            <w:bottom w:val="none" w:sz="0" w:space="0" w:color="auto"/>
            <w:right w:val="none" w:sz="0" w:space="0" w:color="auto"/>
          </w:divBdr>
        </w:div>
        <w:div w:id="1794208749">
          <w:marLeft w:val="274"/>
          <w:marRight w:val="0"/>
          <w:marTop w:val="0"/>
          <w:marBottom w:val="100"/>
          <w:divBdr>
            <w:top w:val="none" w:sz="0" w:space="0" w:color="auto"/>
            <w:left w:val="none" w:sz="0" w:space="0" w:color="auto"/>
            <w:bottom w:val="none" w:sz="0" w:space="0" w:color="auto"/>
            <w:right w:val="none" w:sz="0" w:space="0" w:color="auto"/>
          </w:divBdr>
        </w:div>
      </w:divsChild>
    </w:div>
    <w:div w:id="1876457459">
      <w:bodyDiv w:val="1"/>
      <w:marLeft w:val="0"/>
      <w:marRight w:val="0"/>
      <w:marTop w:val="0"/>
      <w:marBottom w:val="0"/>
      <w:divBdr>
        <w:top w:val="none" w:sz="0" w:space="0" w:color="auto"/>
        <w:left w:val="none" w:sz="0" w:space="0" w:color="auto"/>
        <w:bottom w:val="none" w:sz="0" w:space="0" w:color="auto"/>
        <w:right w:val="none" w:sz="0" w:space="0" w:color="auto"/>
      </w:divBdr>
    </w:div>
    <w:div w:id="1888452059">
      <w:bodyDiv w:val="1"/>
      <w:marLeft w:val="0"/>
      <w:marRight w:val="0"/>
      <w:marTop w:val="0"/>
      <w:marBottom w:val="0"/>
      <w:divBdr>
        <w:top w:val="none" w:sz="0" w:space="0" w:color="auto"/>
        <w:left w:val="none" w:sz="0" w:space="0" w:color="auto"/>
        <w:bottom w:val="none" w:sz="0" w:space="0" w:color="auto"/>
        <w:right w:val="none" w:sz="0" w:space="0" w:color="auto"/>
      </w:divBdr>
    </w:div>
    <w:div w:id="1983073450">
      <w:bodyDiv w:val="1"/>
      <w:marLeft w:val="0"/>
      <w:marRight w:val="0"/>
      <w:marTop w:val="0"/>
      <w:marBottom w:val="0"/>
      <w:divBdr>
        <w:top w:val="none" w:sz="0" w:space="0" w:color="auto"/>
        <w:left w:val="none" w:sz="0" w:space="0" w:color="auto"/>
        <w:bottom w:val="none" w:sz="0" w:space="0" w:color="auto"/>
        <w:right w:val="none" w:sz="0" w:space="0" w:color="auto"/>
      </w:divBdr>
      <w:divsChild>
        <w:div w:id="626818837">
          <w:marLeft w:val="533"/>
          <w:marRight w:val="0"/>
          <w:marTop w:val="0"/>
          <w:marBottom w:val="0"/>
          <w:divBdr>
            <w:top w:val="none" w:sz="0" w:space="0" w:color="auto"/>
            <w:left w:val="none" w:sz="0" w:space="0" w:color="auto"/>
            <w:bottom w:val="none" w:sz="0" w:space="0" w:color="auto"/>
            <w:right w:val="none" w:sz="0" w:space="0" w:color="auto"/>
          </w:divBdr>
        </w:div>
      </w:divsChild>
    </w:div>
    <w:div w:id="2001496983">
      <w:bodyDiv w:val="1"/>
      <w:marLeft w:val="0"/>
      <w:marRight w:val="0"/>
      <w:marTop w:val="0"/>
      <w:marBottom w:val="0"/>
      <w:divBdr>
        <w:top w:val="none" w:sz="0" w:space="0" w:color="auto"/>
        <w:left w:val="none" w:sz="0" w:space="0" w:color="auto"/>
        <w:bottom w:val="none" w:sz="0" w:space="0" w:color="auto"/>
        <w:right w:val="none" w:sz="0" w:space="0" w:color="auto"/>
      </w:divBdr>
    </w:div>
    <w:div w:id="207527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HELLE\OneDrive%20-%20Direktoratet%20for%20e-helse\Ressursbruk%20p&#229;%20IKT%20i%20helse-%20og%20omsorgtjenesten%202021-N&#248;kkeltall%20per%20akt&#248;r.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ehelse.no/strategi/nasjonal-e-helsemonitor" TargetMode="External"/><Relationship Id="rId1" Type="http://schemas.openxmlformats.org/officeDocument/2006/relationships/hyperlink" Target="https://ehelse.no/publikasjoner/komparativ-analyse-av-de-regionale-helseforetakene-pa-ikt-omradet-tillegg-til-hovedrapport" TargetMode="External"/></Relationships>
</file>

<file path=word/theme/theme1.xml><?xml version="1.0" encoding="utf-8"?>
<a:theme xmlns:a="http://schemas.openxmlformats.org/drawingml/2006/main" name="Office-tema">
  <a:themeElements>
    <a:clrScheme name="Direktoratet for e-helse">
      <a:dk1>
        <a:srgbClr val="0069E8"/>
      </a:dk1>
      <a:lt1>
        <a:srgbClr val="F0F0F0"/>
      </a:lt1>
      <a:dk2>
        <a:srgbClr val="037A94"/>
      </a:dk2>
      <a:lt2>
        <a:srgbClr val="DBEEF3"/>
      </a:lt2>
      <a:accent1>
        <a:srgbClr val="037A94"/>
      </a:accent1>
      <a:accent2>
        <a:srgbClr val="0069E8"/>
      </a:accent2>
      <a:accent3>
        <a:srgbClr val="281C2C"/>
      </a:accent3>
      <a:accent4>
        <a:srgbClr val="000000"/>
      </a:accent4>
      <a:accent5>
        <a:srgbClr val="4BACC6"/>
      </a:accent5>
      <a:accent6>
        <a:srgbClr val="F783FE"/>
      </a:accent6>
      <a:hlink>
        <a:srgbClr val="0069E8"/>
      </a:hlink>
      <a:folHlink>
        <a:srgbClr val="AE2CF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12b5486-8b1d-41da-8217-6ad0bb83809e">
      <UserInfo>
        <DisplayName>Aleksander Skilbrigt (Innleid)</DisplayName>
        <AccountId>21</AccountId>
        <AccountType/>
      </UserInfo>
      <UserInfo>
        <DisplayName>Mihai Dumitrescu</DisplayName>
        <AccountId>23</AccountId>
        <AccountType/>
      </UserInfo>
    </SharedWithUsers>
    <lcf76f155ced4ddcb4097134ff3c332f xmlns="e2336cba-6a5c-4595-8489-a46dc9b00721">
      <Terms xmlns="http://schemas.microsoft.com/office/infopath/2007/PartnerControls"/>
    </lcf76f155ced4ddcb4097134ff3c332f>
    <Overskrift xmlns="e2336cba-6a5c-4595-8489-a46dc9b00721" xsi:nil="true"/>
    <TaxCatchAll xmlns="812b5486-8b1d-41da-8217-6ad0bb8380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8F03C4F05A69249BF5242973819FBC0" ma:contentTypeVersion="14" ma:contentTypeDescription="Opprett et nytt dokument." ma:contentTypeScope="" ma:versionID="632b9bcef7763f022db8cd73f8b44d43">
  <xsd:schema xmlns:xsd="http://www.w3.org/2001/XMLSchema" xmlns:xs="http://www.w3.org/2001/XMLSchema" xmlns:p="http://schemas.microsoft.com/office/2006/metadata/properties" xmlns:ns2="e2336cba-6a5c-4595-8489-a46dc9b00721" xmlns:ns3="812b5486-8b1d-41da-8217-6ad0bb83809e" targetNamespace="http://schemas.microsoft.com/office/2006/metadata/properties" ma:root="true" ma:fieldsID="312c9541446e8f648d4df8912f56264d" ns2:_="" ns3:_="">
    <xsd:import namespace="e2336cba-6a5c-4595-8489-a46dc9b00721"/>
    <xsd:import namespace="812b5486-8b1d-41da-8217-6ad0bb8380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Overskri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36cba-6a5c-4595-8489-a46dc9b00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31ee3654-c8e4-40a8-8f11-939d7f4117c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Overskrift" ma:index="21" nillable="true" ma:displayName="Overskrift " ma:description="Application of artificial intelligence in medical technologies: A systematic review of main trends" ma:format="Dropdown" ma:internalName="Overskrif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2b5486-8b1d-41da-8217-6ad0bb83809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53901c09-5611-4522-96db-208a864d823b}" ma:internalName="TaxCatchAll" ma:showField="CatchAllData" ma:web="812b5486-8b1d-41da-8217-6ad0bb838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71570E-6517-42B1-BEFE-792A344018F9}">
  <ds:schemaRefs>
    <ds:schemaRef ds:uri="http://schemas.microsoft.com/sharepoint/v3/contenttype/forms"/>
  </ds:schemaRefs>
</ds:datastoreItem>
</file>

<file path=customXml/itemProps2.xml><?xml version="1.0" encoding="utf-8"?>
<ds:datastoreItem xmlns:ds="http://schemas.openxmlformats.org/officeDocument/2006/customXml" ds:itemID="{845388DB-ABC2-41C1-868B-B09006C4AA57}">
  <ds:schemaRefs>
    <ds:schemaRef ds:uri="http://purl.org/dc/dcmitype/"/>
    <ds:schemaRef ds:uri="e2336cba-6a5c-4595-8489-a46dc9b00721"/>
    <ds:schemaRef ds:uri="812b5486-8b1d-41da-8217-6ad0bb83809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2E20145F-A2EB-48AD-87BC-62564A3C670E}">
  <ds:schemaRefs>
    <ds:schemaRef ds:uri="http://schemas.openxmlformats.org/officeDocument/2006/bibliography"/>
  </ds:schemaRefs>
</ds:datastoreItem>
</file>

<file path=customXml/itemProps4.xml><?xml version="1.0" encoding="utf-8"?>
<ds:datastoreItem xmlns:ds="http://schemas.openxmlformats.org/officeDocument/2006/customXml" ds:itemID="{0A900FA5-7718-4EA1-A851-AA480ECCF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36cba-6a5c-4595-8489-a46dc9b00721"/>
    <ds:schemaRef ds:uri="812b5486-8b1d-41da-8217-6ad0bb83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36</Pages>
  <Words>11112</Words>
  <Characters>58896</Characters>
  <Application>Microsoft Office Word</Application>
  <DocSecurity>0</DocSecurity>
  <Lines>490</Lines>
  <Paragraphs>139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Ressursbruk på IKT i helse- og omsorgstjenesten i 2020</vt:lpstr>
      <vt:lpstr>Ressursbruk på IKT i helse- og omsorgstjenesten i 2020</vt:lpstr>
    </vt:vector>
  </TitlesOfParts>
  <Manager>Robert Nystuen</Manager>
  <Company>Direktoratet for e-helse</Company>
  <LinksUpToDate>false</LinksUpToDate>
  <CharactersWithSpaces>69869</CharactersWithSpaces>
  <SharedDoc>false</SharedDoc>
  <HyperlinkBase>IKT-nøkkeltall,  IKT-utgifter, IKT-kostnader, maskinvare, programvare, IKT-personell, IKT-tjenesteutsetting, allmenne skytjenester, datasenter, nettverk, sluttbrukterutstyr, brukerstøtte, applikasjonsutvikling, applikasjonsforvaltning, IT-styring og tjenesteledelse, IT-sikkerhet, IT-driftsovervåking, IT-tjenestekontinuitet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Ressursbruk på IKT i helse- og omsorgstjenesten i 2020</dc:title>
  <dc:subject>IKT-nøkkeltall,  IKT-utgifter, IKT-kostnader, maskinvare, programvare, IKT-personell, IKT-tjenesteutsetting, allmenne skytjenester, datasenter, nettverk, sluttbrukterutstyr, brukerstøtte, applikasjonsutvikling, applikasjonsforvaltning, IT-styring og tjene</dc:subject>
  <dc:creator>Direktoraret for e-helse</dc:creator>
  <cp:keywords>IKT ressustall, IKT kostnad, helse- og omsorgssektoren, IKT nøkkeltall</cp:keywords>
  <dc:description/>
  <cp:lastModifiedBy>Einar Kornstad</cp:lastModifiedBy>
  <cp:revision>2</cp:revision>
  <cp:lastPrinted>2023-09-28T07:10:00Z</cp:lastPrinted>
  <dcterms:created xsi:type="dcterms:W3CDTF">2023-10-09T08:42:00Z</dcterms:created>
  <dcterms:modified xsi:type="dcterms:W3CDTF">2023-10-09T08:42:00Z</dcterms:modified>
  <cp:category>IKT-nøkkeltall, IKT-utgifter, IKT-kostnader, maskinvare, programvare, IKT-personell, IKT-tjenesteutsetting, allmenne skytjenester, datasenter, nettverk, sluttbrukterutstyr, brukerstøtte, applikasjonsutvikling, applikasjonsforvaltning, IT-styring og tjenesteledelse, IT-sikkerhet, IT-driftsovervåking, IT-tjenestekontinuitet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0x01010018F03C4F05A69249BF5242973819FBC0</vt:lpwstr>
  </property>
  <property fmtid="{D5CDD505-2E9C-101B-9397-08002B2CF9AE}" pid="3" name="MediaServiceImageTags">
    <vt:lpwstr/>
  </property>
</Properties>
</file>